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10605" w14:textId="48B24917" w:rsidR="00EA3C7D" w:rsidRDefault="00F53B23" w:rsidP="0084170D">
      <w:pPr>
        <w:jc w:val="center"/>
        <w:rPr>
          <w:rStyle w:val="ember-view"/>
          <w:rFonts w:asciiTheme="majorHAnsi" w:hAnsiTheme="majorHAnsi" w:cstheme="majorHAnsi"/>
          <w:b/>
          <w:bCs/>
          <w:u w:val="single"/>
          <w:bdr w:val="none" w:sz="0" w:space="0" w:color="auto" w:frame="1"/>
        </w:rPr>
      </w:pPr>
      <w:r>
        <w:rPr>
          <w:rStyle w:val="ember-view"/>
          <w:rFonts w:asciiTheme="majorHAnsi" w:hAnsiTheme="majorHAnsi" w:cstheme="majorHAnsi"/>
          <w:b/>
          <w:bCs/>
          <w:u w:val="single"/>
          <w:bdr w:val="none" w:sz="0" w:space="0" w:color="auto" w:frame="1"/>
        </w:rPr>
        <w:t xml:space="preserve"> </w:t>
      </w:r>
    </w:p>
    <w:p w14:paraId="6B89D581" w14:textId="77777777" w:rsidR="00C72D9C" w:rsidRPr="00C72D9C" w:rsidRDefault="00C72D9C" w:rsidP="00C72D9C">
      <w:pPr>
        <w:jc w:val="center"/>
        <w:rPr>
          <w:rFonts w:ascii="Calibri" w:eastAsia="MS Mincho" w:hAnsi="Calibri" w:cs="Calibri"/>
          <w:b/>
          <w:bCs/>
          <w:u w:val="single"/>
          <w:bdr w:val="none" w:sz="0" w:space="0" w:color="auto" w:frame="1"/>
        </w:rPr>
      </w:pPr>
      <w:r w:rsidRPr="00C72D9C">
        <w:rPr>
          <w:rFonts w:ascii="Calibri" w:eastAsia="MS Mincho" w:hAnsi="Calibri" w:cs="Calibri"/>
          <w:b/>
          <w:bCs/>
          <w:u w:val="single"/>
          <w:bdr w:val="none" w:sz="0" w:space="0" w:color="auto" w:frame="1"/>
        </w:rPr>
        <w:t>OSSERVATORIO CONSUMI CONFIMPRESE-EY</w:t>
      </w:r>
    </w:p>
    <w:p w14:paraId="21D09613" w14:textId="77777777" w:rsidR="00C72D9C" w:rsidRPr="00C72D9C" w:rsidRDefault="00C72D9C" w:rsidP="00C72D9C">
      <w:pPr>
        <w:jc w:val="center"/>
        <w:rPr>
          <w:rFonts w:ascii="Calibri" w:eastAsia="MS Mincho" w:hAnsi="Calibri" w:cs="Calibri"/>
          <w:b/>
          <w:bCs/>
          <w:sz w:val="22"/>
          <w:szCs w:val="22"/>
          <w:bdr w:val="none" w:sz="0" w:space="0" w:color="auto" w:frame="1"/>
        </w:rPr>
      </w:pPr>
    </w:p>
    <w:p w14:paraId="5A1A1312" w14:textId="77777777" w:rsidR="00C72D9C" w:rsidRPr="00C72D9C" w:rsidRDefault="00C72D9C" w:rsidP="00C72D9C">
      <w:pPr>
        <w:ind w:left="142"/>
        <w:jc w:val="center"/>
        <w:rPr>
          <w:rFonts w:ascii="Cambria" w:eastAsia="MS Mincho" w:hAnsi="Cambria" w:cs="Times New Roman"/>
          <w:i/>
          <w:iCs/>
        </w:rPr>
      </w:pPr>
      <w:r w:rsidRPr="00C72D9C">
        <w:rPr>
          <w:rFonts w:ascii="Calibri" w:eastAsia="MS Mincho" w:hAnsi="Calibri" w:cs="Calibri"/>
          <w:b/>
          <w:bCs/>
          <w:i/>
          <w:iCs/>
          <w:sz w:val="22"/>
          <w:szCs w:val="22"/>
        </w:rPr>
        <w:t xml:space="preserve">Dati aprile 2022 vs aprile 2019 </w:t>
      </w:r>
    </w:p>
    <w:p w14:paraId="355A6DE9" w14:textId="77777777" w:rsidR="00C72D9C" w:rsidRPr="00C72D9C" w:rsidRDefault="00C72D9C" w:rsidP="00C72D9C">
      <w:pPr>
        <w:ind w:left="142"/>
        <w:jc w:val="center"/>
        <w:rPr>
          <w:rFonts w:ascii="Calibri" w:eastAsia="MS Mincho" w:hAnsi="Calibri" w:cs="Calibri"/>
          <w:b/>
          <w:bCs/>
          <w:i/>
          <w:iCs/>
          <w:sz w:val="22"/>
          <w:szCs w:val="22"/>
        </w:rPr>
      </w:pPr>
    </w:p>
    <w:p w14:paraId="69374B59" w14:textId="77777777" w:rsidR="00C72D9C" w:rsidRPr="00C72D9C" w:rsidRDefault="00C72D9C" w:rsidP="00C72D9C">
      <w:pPr>
        <w:ind w:left="142"/>
        <w:jc w:val="center"/>
        <w:rPr>
          <w:rFonts w:ascii="Calibri" w:eastAsia="MS Mincho" w:hAnsi="Calibri" w:cs="Calibri"/>
          <w:i/>
          <w:iCs/>
          <w:sz w:val="22"/>
          <w:szCs w:val="22"/>
        </w:rPr>
      </w:pPr>
      <w:r w:rsidRPr="00C72D9C">
        <w:rPr>
          <w:rFonts w:ascii="Calibri" w:eastAsia="MS Mincho" w:hAnsi="Calibri" w:cs="Calibri"/>
          <w:i/>
          <w:iCs/>
          <w:sz w:val="22"/>
          <w:szCs w:val="22"/>
          <w:bdr w:val="none" w:sz="0" w:space="0" w:color="auto" w:frame="1"/>
        </w:rPr>
        <w:t>L’Osservatorio permanente sull’andamento dei consumi nei settori ristorazione, abbigliamento e retail non food elaborato da Confimprese-EY evidenzia un deciso miglioramento delle vendite</w:t>
      </w:r>
      <w:r w:rsidRPr="00C72D9C">
        <w:rPr>
          <w:rFonts w:ascii="Calibri" w:eastAsia="MS Mincho" w:hAnsi="Calibri" w:cs="Calibri"/>
          <w:i/>
          <w:iCs/>
          <w:sz w:val="22"/>
          <w:szCs w:val="22"/>
        </w:rPr>
        <w:t xml:space="preserve"> nel mese di aprile 2022, che chiude a </w:t>
      </w:r>
      <w:r w:rsidRPr="00C72D9C">
        <w:rPr>
          <w:rFonts w:ascii="Calibri" w:eastAsia="MS Mincho" w:hAnsi="Calibri" w:cs="Calibri"/>
          <w:b/>
          <w:bCs/>
          <w:i/>
          <w:iCs/>
          <w:sz w:val="22"/>
          <w:szCs w:val="22"/>
        </w:rPr>
        <w:t>-9%</w:t>
      </w:r>
      <w:r w:rsidRPr="00C72D9C">
        <w:rPr>
          <w:rFonts w:ascii="Calibri" w:eastAsia="MS Mincho" w:hAnsi="Calibri" w:cs="Calibri"/>
          <w:i/>
          <w:iCs/>
          <w:sz w:val="22"/>
          <w:szCs w:val="22"/>
        </w:rPr>
        <w:t xml:space="preserve"> rispetto ad aprile 2019, anno pre-pandemia.</w:t>
      </w:r>
    </w:p>
    <w:p w14:paraId="09528F05" w14:textId="77777777" w:rsidR="00C72D9C" w:rsidRPr="00C72D9C" w:rsidRDefault="00C72D9C" w:rsidP="00C72D9C">
      <w:pPr>
        <w:ind w:left="142"/>
        <w:jc w:val="center"/>
        <w:rPr>
          <w:rFonts w:ascii="Calibri" w:eastAsia="MS Mincho" w:hAnsi="Calibri" w:cs="Calibri"/>
          <w:i/>
          <w:iCs/>
          <w:sz w:val="22"/>
          <w:szCs w:val="22"/>
          <w:bdr w:val="none" w:sz="0" w:space="0" w:color="auto" w:frame="1"/>
        </w:rPr>
      </w:pPr>
    </w:p>
    <w:p w14:paraId="3F4565B1" w14:textId="77777777" w:rsidR="00C72D9C" w:rsidRPr="00C72D9C" w:rsidRDefault="00C72D9C" w:rsidP="00C72D9C">
      <w:pPr>
        <w:jc w:val="center"/>
        <w:rPr>
          <w:rFonts w:ascii="Calibri" w:eastAsia="MS Mincho" w:hAnsi="Calibri" w:cs="Calibri"/>
          <w:i/>
          <w:iCs/>
          <w:sz w:val="22"/>
          <w:szCs w:val="22"/>
        </w:rPr>
      </w:pPr>
      <w:r w:rsidRPr="00C72D9C">
        <w:rPr>
          <w:rFonts w:ascii="Calibri" w:eastAsia="MS Mincho" w:hAnsi="Calibri" w:cs="Calibri"/>
          <w:i/>
          <w:iCs/>
          <w:sz w:val="22"/>
          <w:szCs w:val="22"/>
        </w:rPr>
        <w:t xml:space="preserve">Recuperano </w:t>
      </w:r>
      <w:r w:rsidRPr="00C72D9C">
        <w:rPr>
          <w:rFonts w:ascii="Calibri" w:eastAsia="MS Mincho" w:hAnsi="Calibri" w:cs="Calibri"/>
          <w:b/>
          <w:bCs/>
          <w:i/>
          <w:iCs/>
          <w:sz w:val="22"/>
          <w:szCs w:val="22"/>
        </w:rPr>
        <w:t>ristorazione +0,9</w:t>
      </w:r>
      <w:r w:rsidRPr="00C72D9C">
        <w:rPr>
          <w:rFonts w:ascii="Calibri" w:eastAsia="MS Mincho" w:hAnsi="Calibri" w:cs="Calibri"/>
          <w:i/>
          <w:iCs/>
          <w:sz w:val="22"/>
          <w:szCs w:val="22"/>
        </w:rPr>
        <w:t xml:space="preserve">% e </w:t>
      </w:r>
      <w:r w:rsidRPr="00C72D9C">
        <w:rPr>
          <w:rFonts w:ascii="Calibri" w:eastAsia="MS Mincho" w:hAnsi="Calibri" w:cs="Calibri"/>
          <w:b/>
          <w:bCs/>
          <w:i/>
          <w:iCs/>
          <w:sz w:val="22"/>
          <w:szCs w:val="22"/>
        </w:rPr>
        <w:t>retail non food +4,9</w:t>
      </w:r>
      <w:r w:rsidRPr="00C72D9C">
        <w:rPr>
          <w:rFonts w:ascii="Calibri" w:eastAsia="MS Mincho" w:hAnsi="Calibri" w:cs="Calibri"/>
          <w:i/>
          <w:iCs/>
          <w:sz w:val="22"/>
          <w:szCs w:val="22"/>
        </w:rPr>
        <w:t xml:space="preserve">%, che spingono i consumi. Ancora in sofferenza abbigliamento-accessori che chiude il mese a </w:t>
      </w:r>
      <w:r w:rsidRPr="00C72D9C">
        <w:rPr>
          <w:rFonts w:ascii="Calibri" w:eastAsia="MS Mincho" w:hAnsi="Calibri" w:cs="Calibri"/>
          <w:b/>
          <w:bCs/>
          <w:i/>
          <w:iCs/>
          <w:sz w:val="22"/>
          <w:szCs w:val="22"/>
        </w:rPr>
        <w:t>-20,1%</w:t>
      </w:r>
      <w:r w:rsidRPr="00C72D9C">
        <w:rPr>
          <w:rFonts w:ascii="Calibri" w:eastAsia="MS Mincho" w:hAnsi="Calibri" w:cs="Calibri"/>
          <w:i/>
          <w:iCs/>
          <w:sz w:val="22"/>
          <w:szCs w:val="22"/>
        </w:rPr>
        <w:t>.</w:t>
      </w:r>
    </w:p>
    <w:p w14:paraId="645B1DF3" w14:textId="77777777" w:rsidR="00C72D9C" w:rsidRPr="00C72D9C" w:rsidRDefault="00C72D9C" w:rsidP="00C72D9C">
      <w:pPr>
        <w:ind w:left="142"/>
        <w:jc w:val="center"/>
        <w:rPr>
          <w:rFonts w:ascii="Calibri" w:eastAsia="MS Mincho" w:hAnsi="Calibri" w:cs="Calibri"/>
          <w:i/>
          <w:iCs/>
          <w:sz w:val="22"/>
          <w:szCs w:val="22"/>
        </w:rPr>
      </w:pPr>
    </w:p>
    <w:p w14:paraId="1698EDA3" w14:textId="54F9A00F" w:rsidR="00C72D9C" w:rsidRDefault="00C72D9C" w:rsidP="00C72D9C">
      <w:pPr>
        <w:ind w:left="142"/>
        <w:jc w:val="center"/>
        <w:rPr>
          <w:rFonts w:ascii="Calibri" w:eastAsia="MS Mincho" w:hAnsi="Calibri" w:cs="Calibri"/>
          <w:i/>
          <w:iCs/>
          <w:sz w:val="22"/>
          <w:szCs w:val="22"/>
          <w:bdr w:val="none" w:sz="0" w:space="0" w:color="auto" w:frame="1"/>
        </w:rPr>
      </w:pPr>
      <w:r w:rsidRPr="00C72D9C">
        <w:rPr>
          <w:rFonts w:ascii="Calibri" w:eastAsia="MS Mincho" w:hAnsi="Calibri" w:cs="Calibri"/>
          <w:i/>
          <w:iCs/>
          <w:sz w:val="22"/>
          <w:szCs w:val="22"/>
          <w:bdr w:val="none" w:sz="0" w:space="0" w:color="auto" w:frame="1"/>
        </w:rPr>
        <w:t xml:space="preserve">Sempre in recupero il </w:t>
      </w:r>
      <w:r w:rsidRPr="00C72D9C">
        <w:rPr>
          <w:rFonts w:ascii="Calibri" w:eastAsia="MS Mincho" w:hAnsi="Calibri" w:cs="Calibri"/>
          <w:b/>
          <w:bCs/>
          <w:i/>
          <w:iCs/>
          <w:sz w:val="22"/>
          <w:szCs w:val="22"/>
          <w:bdr w:val="none" w:sz="0" w:space="0" w:color="auto" w:frame="1"/>
        </w:rPr>
        <w:t>travel</w:t>
      </w:r>
      <w:r w:rsidRPr="00C72D9C">
        <w:rPr>
          <w:rFonts w:ascii="Calibri" w:eastAsia="MS Mincho" w:hAnsi="Calibri" w:cs="Calibri"/>
          <w:i/>
          <w:iCs/>
          <w:sz w:val="22"/>
          <w:szCs w:val="22"/>
          <w:bdr w:val="none" w:sz="0" w:space="0" w:color="auto" w:frame="1"/>
        </w:rPr>
        <w:t xml:space="preserve"> che chiude a </w:t>
      </w:r>
      <w:r w:rsidRPr="00C72D9C">
        <w:rPr>
          <w:rFonts w:ascii="Calibri" w:eastAsia="MS Mincho" w:hAnsi="Calibri" w:cs="Calibri"/>
          <w:b/>
          <w:bCs/>
          <w:i/>
          <w:iCs/>
          <w:sz w:val="22"/>
          <w:szCs w:val="22"/>
          <w:bdr w:val="none" w:sz="0" w:space="0" w:color="auto" w:frame="1"/>
        </w:rPr>
        <w:t>-16,6</w:t>
      </w:r>
      <w:r w:rsidRPr="00C72D9C">
        <w:rPr>
          <w:rFonts w:ascii="Calibri" w:eastAsia="MS Mincho" w:hAnsi="Calibri" w:cs="Calibri"/>
          <w:i/>
          <w:iCs/>
          <w:sz w:val="22"/>
          <w:szCs w:val="22"/>
          <w:bdr w:val="none" w:sz="0" w:space="0" w:color="auto" w:frame="1"/>
        </w:rPr>
        <w:t xml:space="preserve">%. Ancora negativi i centri commerciali -16,6% e le high street -14,5%. Segno positivo a +4,4% per la </w:t>
      </w:r>
      <w:r w:rsidRPr="00C72D9C">
        <w:rPr>
          <w:rFonts w:ascii="Calibri" w:eastAsia="MS Mincho" w:hAnsi="Calibri" w:cs="Calibri"/>
          <w:b/>
          <w:bCs/>
          <w:i/>
          <w:iCs/>
          <w:sz w:val="22"/>
          <w:szCs w:val="22"/>
          <w:bdr w:val="none" w:sz="0" w:space="0" w:color="auto" w:frame="1"/>
        </w:rPr>
        <w:t>prossimità,</w:t>
      </w:r>
      <w:r w:rsidRPr="00C72D9C">
        <w:rPr>
          <w:rFonts w:ascii="Calibri" w:eastAsia="MS Mincho" w:hAnsi="Calibri" w:cs="Calibri"/>
          <w:i/>
          <w:iCs/>
          <w:sz w:val="22"/>
          <w:szCs w:val="22"/>
          <w:bdr w:val="none" w:sz="0" w:space="0" w:color="auto" w:frame="1"/>
        </w:rPr>
        <w:t xml:space="preserve"> che continua a occupare un posto privilegiato nelle scelte d’acquisto dei consumatori.</w:t>
      </w:r>
    </w:p>
    <w:p w14:paraId="077E3459" w14:textId="0FAAE618" w:rsidR="00971DFB" w:rsidRDefault="00971DFB" w:rsidP="00C72D9C">
      <w:pPr>
        <w:ind w:left="142"/>
        <w:jc w:val="center"/>
        <w:rPr>
          <w:rFonts w:ascii="Calibri" w:eastAsia="MS Mincho" w:hAnsi="Calibri" w:cs="Calibri"/>
          <w:i/>
          <w:iCs/>
          <w:sz w:val="22"/>
          <w:szCs w:val="22"/>
          <w:bdr w:val="none" w:sz="0" w:space="0" w:color="auto" w:frame="1"/>
        </w:rPr>
      </w:pPr>
    </w:p>
    <w:p w14:paraId="2A49DD31" w14:textId="5B79A19E" w:rsidR="00971DFB" w:rsidRPr="00C72D9C" w:rsidRDefault="00971DFB" w:rsidP="00C72D9C">
      <w:pPr>
        <w:ind w:left="142"/>
        <w:jc w:val="center"/>
        <w:rPr>
          <w:rFonts w:ascii="Cambria" w:eastAsia="MS Mincho" w:hAnsi="Cambria" w:cs="Times New Roman"/>
          <w:bdr w:val="none" w:sz="0" w:space="0" w:color="auto" w:frame="1"/>
        </w:rPr>
      </w:pPr>
      <w:r>
        <w:rPr>
          <w:rFonts w:ascii="Calibri" w:eastAsia="MS Mincho" w:hAnsi="Calibri" w:cs="Calibri"/>
          <w:i/>
          <w:iCs/>
          <w:sz w:val="22"/>
          <w:szCs w:val="22"/>
          <w:bdr w:val="none" w:sz="0" w:space="0" w:color="auto" w:frame="1"/>
        </w:rPr>
        <w:t xml:space="preserve">Le regioni confermano il trend positivo registrato al Sud, con la </w:t>
      </w:r>
      <w:r w:rsidRPr="00971DFB">
        <w:rPr>
          <w:rFonts w:ascii="Calibri" w:eastAsia="MS Mincho" w:hAnsi="Calibri" w:cs="Calibri"/>
          <w:b/>
          <w:bCs/>
          <w:i/>
          <w:iCs/>
          <w:sz w:val="22"/>
          <w:szCs w:val="22"/>
          <w:bdr w:val="none" w:sz="0" w:space="0" w:color="auto" w:frame="1"/>
        </w:rPr>
        <w:t xml:space="preserve">Campania </w:t>
      </w:r>
      <w:r>
        <w:rPr>
          <w:rFonts w:ascii="Calibri" w:eastAsia="MS Mincho" w:hAnsi="Calibri" w:cs="Calibri"/>
          <w:i/>
          <w:iCs/>
          <w:sz w:val="22"/>
          <w:szCs w:val="22"/>
          <w:bdr w:val="none" w:sz="0" w:space="0" w:color="auto" w:frame="1"/>
        </w:rPr>
        <w:t xml:space="preserve">a +6%. Tra le province peggiori troviamo </w:t>
      </w:r>
      <w:r w:rsidRPr="00971DFB">
        <w:rPr>
          <w:rFonts w:ascii="Calibri" w:eastAsia="MS Mincho" w:hAnsi="Calibri" w:cs="Calibri"/>
          <w:b/>
          <w:bCs/>
          <w:i/>
          <w:iCs/>
          <w:sz w:val="22"/>
          <w:szCs w:val="22"/>
          <w:bdr w:val="none" w:sz="0" w:space="0" w:color="auto" w:frame="1"/>
        </w:rPr>
        <w:t>Bologna</w:t>
      </w:r>
      <w:r>
        <w:rPr>
          <w:rFonts w:ascii="Calibri" w:eastAsia="MS Mincho" w:hAnsi="Calibri" w:cs="Calibri"/>
          <w:i/>
          <w:iCs/>
          <w:sz w:val="22"/>
          <w:szCs w:val="22"/>
          <w:bdr w:val="none" w:sz="0" w:space="0" w:color="auto" w:frame="1"/>
        </w:rPr>
        <w:t xml:space="preserve"> a</w:t>
      </w:r>
      <w:r w:rsidRPr="00971DFB">
        <w:rPr>
          <w:rFonts w:ascii="Calibri" w:eastAsia="MS Mincho" w:hAnsi="Calibri" w:cs="Calibri"/>
          <w:i/>
          <w:iCs/>
          <w:sz w:val="22"/>
          <w:szCs w:val="22"/>
          <w:bdr w:val="none" w:sz="0" w:space="0" w:color="auto" w:frame="1"/>
        </w:rPr>
        <w:t xml:space="preserve"> -22,8%</w:t>
      </w:r>
      <w:r>
        <w:rPr>
          <w:rFonts w:ascii="Calibri" w:eastAsia="MS Mincho" w:hAnsi="Calibri" w:cs="Calibri"/>
          <w:i/>
          <w:iCs/>
          <w:sz w:val="22"/>
          <w:szCs w:val="22"/>
          <w:bdr w:val="none" w:sz="0" w:space="0" w:color="auto" w:frame="1"/>
        </w:rPr>
        <w:t xml:space="preserve">, mentre continua l’andamento positivo della città di </w:t>
      </w:r>
      <w:r w:rsidRPr="00971DFB">
        <w:rPr>
          <w:rFonts w:ascii="Calibri" w:eastAsia="MS Mincho" w:hAnsi="Calibri" w:cs="Calibri"/>
          <w:b/>
          <w:bCs/>
          <w:i/>
          <w:iCs/>
          <w:sz w:val="22"/>
          <w:szCs w:val="22"/>
          <w:bdr w:val="none" w:sz="0" w:space="0" w:color="auto" w:frame="1"/>
        </w:rPr>
        <w:t>Napoli</w:t>
      </w:r>
      <w:r>
        <w:rPr>
          <w:rFonts w:ascii="Calibri" w:eastAsia="MS Mincho" w:hAnsi="Calibri" w:cs="Calibri"/>
          <w:i/>
          <w:iCs/>
          <w:sz w:val="22"/>
          <w:szCs w:val="22"/>
          <w:bdr w:val="none" w:sz="0" w:space="0" w:color="auto" w:frame="1"/>
        </w:rPr>
        <w:t xml:space="preserve"> che chiude a </w:t>
      </w:r>
      <w:r w:rsidRPr="00971DFB">
        <w:rPr>
          <w:rFonts w:ascii="Calibri" w:eastAsia="MS Mincho" w:hAnsi="Calibri" w:cs="Calibri"/>
          <w:i/>
          <w:iCs/>
          <w:sz w:val="22"/>
          <w:szCs w:val="22"/>
          <w:bdr w:val="none" w:sz="0" w:space="0" w:color="auto" w:frame="1"/>
        </w:rPr>
        <w:t>+47,4%</w:t>
      </w:r>
      <w:r>
        <w:rPr>
          <w:rFonts w:ascii="Calibri" w:eastAsia="MS Mincho" w:hAnsi="Calibri" w:cs="Calibri"/>
          <w:i/>
          <w:iCs/>
          <w:sz w:val="22"/>
          <w:szCs w:val="22"/>
          <w:bdr w:val="none" w:sz="0" w:space="0" w:color="auto" w:frame="1"/>
        </w:rPr>
        <w:t>.</w:t>
      </w:r>
    </w:p>
    <w:p w14:paraId="03E15172" w14:textId="77777777" w:rsidR="00C72D9C" w:rsidRPr="00C72D9C" w:rsidRDefault="00C72D9C" w:rsidP="00C72D9C">
      <w:pPr>
        <w:ind w:left="142"/>
        <w:jc w:val="center"/>
        <w:rPr>
          <w:rFonts w:ascii="Calibri" w:eastAsia="MS Mincho" w:hAnsi="Calibri" w:cs="Calibri"/>
          <w:i/>
          <w:iCs/>
          <w:sz w:val="22"/>
          <w:szCs w:val="22"/>
          <w:bdr w:val="none" w:sz="0" w:space="0" w:color="auto" w:frame="1"/>
        </w:rPr>
      </w:pPr>
    </w:p>
    <w:p w14:paraId="75FE43F9" w14:textId="77777777" w:rsidR="00C72D9C" w:rsidRPr="00C72D9C" w:rsidRDefault="00C72D9C" w:rsidP="00C72D9C">
      <w:pPr>
        <w:ind w:left="142"/>
        <w:jc w:val="center"/>
        <w:rPr>
          <w:rFonts w:ascii="Cambria" w:eastAsia="MS Mincho" w:hAnsi="Cambria" w:cs="Times New Roman"/>
        </w:rPr>
      </w:pPr>
    </w:p>
    <w:p w14:paraId="3682A530" w14:textId="77777777" w:rsidR="00C72D9C" w:rsidRPr="00C72D9C" w:rsidRDefault="00C72D9C" w:rsidP="00C72D9C">
      <w:pPr>
        <w:spacing w:before="120" w:after="60"/>
        <w:jc w:val="both"/>
        <w:rPr>
          <w:rFonts w:ascii="Calibri" w:eastAsia="Times New Roman" w:hAnsi="Calibri" w:cs="Calibri"/>
          <w:b/>
          <w:bCs/>
          <w:sz w:val="22"/>
          <w:szCs w:val="22"/>
          <w:bdr w:val="none" w:sz="0" w:space="0" w:color="auto" w:frame="1"/>
          <w:lang w:eastAsia="it-IT"/>
        </w:rPr>
      </w:pPr>
      <w:r w:rsidRPr="00C72D9C">
        <w:rPr>
          <w:rFonts w:ascii="Calibri" w:eastAsia="Times New Roman" w:hAnsi="Calibri" w:cs="Calibri"/>
          <w:color w:val="000000" w:themeColor="text1"/>
          <w:sz w:val="22"/>
          <w:szCs w:val="22"/>
          <w:bdr w:val="none" w:sz="0" w:space="0" w:color="auto" w:frame="1"/>
          <w:lang w:eastAsia="it-IT"/>
        </w:rPr>
        <w:t xml:space="preserve">Milano, 16 maggio 2022 </w:t>
      </w:r>
      <w:bookmarkStart w:id="0" w:name="_Hlk66467266"/>
      <w:r w:rsidRPr="00C72D9C">
        <w:rPr>
          <w:rFonts w:ascii="Calibri" w:eastAsia="Times New Roman" w:hAnsi="Calibri" w:cs="Calibri"/>
          <w:color w:val="000000" w:themeColor="text1"/>
          <w:sz w:val="22"/>
          <w:szCs w:val="22"/>
          <w:bdr w:val="none" w:sz="0" w:space="0" w:color="auto" w:frame="1"/>
          <w:lang w:eastAsia="it-IT"/>
        </w:rPr>
        <w:t>–</w:t>
      </w:r>
      <w:bookmarkEnd w:id="0"/>
      <w:r w:rsidRPr="00C72D9C">
        <w:rPr>
          <w:rFonts w:ascii="Calibri" w:eastAsia="Times New Roman" w:hAnsi="Calibri" w:cs="Calibri"/>
          <w:color w:val="000000" w:themeColor="text1"/>
          <w:sz w:val="22"/>
          <w:szCs w:val="22"/>
          <w:bdr w:val="none" w:sz="0" w:space="0" w:color="auto" w:frame="1"/>
          <w:lang w:eastAsia="it-IT"/>
        </w:rPr>
        <w:t xml:space="preserve"> </w:t>
      </w:r>
      <w:r w:rsidRPr="00C72D9C">
        <w:rPr>
          <w:rFonts w:ascii="Calibri" w:eastAsia="Times New Roman" w:hAnsi="Calibri" w:cs="Calibri"/>
          <w:b/>
          <w:bCs/>
          <w:color w:val="000000" w:themeColor="text1"/>
          <w:sz w:val="22"/>
          <w:szCs w:val="22"/>
          <w:bdr w:val="none" w:sz="0" w:space="0" w:color="auto" w:frame="1"/>
          <w:lang w:eastAsia="it-IT"/>
        </w:rPr>
        <w:t>L’Osservatorio Confimprese-EY</w:t>
      </w:r>
      <w:r w:rsidRPr="00C72D9C">
        <w:rPr>
          <w:rFonts w:ascii="Calibri" w:eastAsia="Times New Roman" w:hAnsi="Calibri" w:cs="Calibri"/>
          <w:color w:val="000000" w:themeColor="text1"/>
          <w:sz w:val="22"/>
          <w:szCs w:val="22"/>
          <w:bdr w:val="none" w:sz="0" w:space="0" w:color="auto" w:frame="1"/>
          <w:lang w:eastAsia="it-IT"/>
        </w:rPr>
        <w:t xml:space="preserve"> sui consumi </w:t>
      </w:r>
      <w:r w:rsidRPr="00C72D9C">
        <w:rPr>
          <w:rFonts w:ascii="Calibri" w:eastAsia="Times New Roman" w:hAnsi="Calibri" w:cs="Calibri"/>
          <w:sz w:val="22"/>
          <w:szCs w:val="22"/>
          <w:bdr w:val="none" w:sz="0" w:space="0" w:color="auto" w:frame="1"/>
          <w:lang w:eastAsia="it-IT"/>
        </w:rPr>
        <w:t xml:space="preserve">analizza i dati di aprile 2022 sullo stesso mese del 2019, anno pre-pandemia, e mostra segni più incoraggianti rispetto ai mesi precedenti, </w:t>
      </w:r>
      <w:bookmarkStart w:id="1" w:name="_Hlk103584937"/>
      <w:r w:rsidRPr="00C72D9C">
        <w:rPr>
          <w:rFonts w:ascii="Calibri" w:eastAsia="Times New Roman" w:hAnsi="Calibri" w:cs="Calibri"/>
          <w:sz w:val="22"/>
          <w:szCs w:val="22"/>
          <w:bdr w:val="none" w:sz="0" w:space="0" w:color="auto" w:frame="1"/>
          <w:lang w:eastAsia="it-IT"/>
        </w:rPr>
        <w:t xml:space="preserve">con il totale mercato che chiude a </w:t>
      </w:r>
      <w:r w:rsidRPr="00C72D9C">
        <w:rPr>
          <w:rFonts w:ascii="Calibri" w:eastAsia="Times New Roman" w:hAnsi="Calibri" w:cs="Calibri"/>
          <w:b/>
          <w:bCs/>
          <w:sz w:val="22"/>
          <w:szCs w:val="22"/>
          <w:bdr w:val="none" w:sz="0" w:space="0" w:color="auto" w:frame="1"/>
          <w:lang w:eastAsia="it-IT"/>
        </w:rPr>
        <w:t xml:space="preserve">-9%. </w:t>
      </w:r>
      <w:bookmarkEnd w:id="1"/>
    </w:p>
    <w:p w14:paraId="4D07F47C" w14:textId="1DF82DA2" w:rsidR="00C72D9C" w:rsidRPr="00C72D9C" w:rsidRDefault="00C72D9C" w:rsidP="00C72D9C">
      <w:pPr>
        <w:spacing w:before="120" w:after="60"/>
        <w:jc w:val="both"/>
        <w:rPr>
          <w:rFonts w:ascii="Calibri" w:eastAsia="Times New Roman" w:hAnsi="Calibri" w:cs="Calibri"/>
          <w:sz w:val="22"/>
          <w:szCs w:val="22"/>
          <w:lang w:eastAsia="it-IT"/>
        </w:rPr>
      </w:pPr>
      <w:r w:rsidRPr="00C72D9C">
        <w:rPr>
          <w:rFonts w:ascii="Calibri" w:eastAsia="Times New Roman" w:hAnsi="Calibri" w:cs="Calibri"/>
          <w:sz w:val="22"/>
          <w:szCs w:val="22"/>
          <w:bdr w:val="none" w:sz="0" w:space="0" w:color="auto" w:frame="1"/>
          <w:lang w:eastAsia="it-IT"/>
        </w:rPr>
        <w:t>Un trend</w:t>
      </w:r>
      <w:r w:rsidRPr="00C72D9C">
        <w:rPr>
          <w:rFonts w:ascii="Calibri" w:eastAsia="Times New Roman" w:hAnsi="Calibri" w:cs="Calibri"/>
          <w:b/>
          <w:bCs/>
          <w:sz w:val="22"/>
          <w:szCs w:val="22"/>
          <w:bdr w:val="none" w:sz="0" w:space="0" w:color="auto" w:frame="1"/>
          <w:lang w:eastAsia="it-IT"/>
        </w:rPr>
        <w:t xml:space="preserve"> </w:t>
      </w:r>
      <w:r w:rsidRPr="00C72D9C">
        <w:rPr>
          <w:rFonts w:ascii="Calibri" w:eastAsia="Times New Roman" w:hAnsi="Calibri" w:cs="Calibri"/>
          <w:sz w:val="22"/>
          <w:szCs w:val="22"/>
          <w:bdr w:val="none" w:sz="0" w:space="0" w:color="auto" w:frame="1"/>
          <w:lang w:eastAsia="it-IT"/>
        </w:rPr>
        <w:t xml:space="preserve">in miglioramento, dunque, nonostante la situazione geopolitica in atto, da ricondurre principalmente a tre fattori: la ripresa del mercato del lavoro con un tasso di disoccupazione sceso all’8,5%; i risparmi forzosi delle famiglie italiane – rimasti intatti durante la pandemia – che ora sono disposte a spendere </w:t>
      </w:r>
      <w:r w:rsidRPr="00C72D9C">
        <w:rPr>
          <w:rFonts w:ascii="Calibri" w:eastAsia="Times New Roman" w:hAnsi="Calibri" w:cs="Calibri"/>
          <w:sz w:val="22"/>
          <w:szCs w:val="22"/>
          <w:lang w:eastAsia="it-IT"/>
        </w:rPr>
        <w:t xml:space="preserve">per superare le scarsità imposte dal periodo recente. E, infine, l’allentamento delle restrizioni sanitarie legate a una voglia di normalità che spinge i consumi. </w:t>
      </w:r>
      <w:r w:rsidR="003342B5">
        <w:rPr>
          <w:rFonts w:ascii="Calibri" w:eastAsia="Times New Roman" w:hAnsi="Calibri" w:cs="Calibri"/>
          <w:sz w:val="22"/>
          <w:szCs w:val="22"/>
          <w:lang w:eastAsia="it-IT"/>
        </w:rPr>
        <w:t>Gli italiani sono sempre più propensi a</w:t>
      </w:r>
      <w:r w:rsidRPr="00C72D9C">
        <w:rPr>
          <w:rFonts w:ascii="Calibri" w:eastAsia="Times New Roman" w:hAnsi="Calibri" w:cs="Calibri"/>
          <w:sz w:val="22"/>
          <w:szCs w:val="22"/>
          <w:lang w:eastAsia="it-IT"/>
        </w:rPr>
        <w:t xml:space="preserve"> tornare a trascorrere </w:t>
      </w:r>
      <w:r w:rsidR="003342B5">
        <w:rPr>
          <w:rFonts w:ascii="Calibri" w:eastAsia="Times New Roman" w:hAnsi="Calibri" w:cs="Calibri"/>
          <w:sz w:val="22"/>
          <w:szCs w:val="22"/>
          <w:lang w:eastAsia="it-IT"/>
        </w:rPr>
        <w:t>il proprio tempo libero fuori casa dopo due anni di limitazioni legati al contenimento dell’emergenza Covid-19</w:t>
      </w:r>
      <w:r w:rsidRPr="00C72D9C">
        <w:rPr>
          <w:rFonts w:ascii="Calibri" w:eastAsia="Times New Roman" w:hAnsi="Calibri" w:cs="Calibri"/>
          <w:sz w:val="22"/>
          <w:szCs w:val="22"/>
          <w:lang w:eastAsia="it-IT"/>
        </w:rPr>
        <w:t xml:space="preserve">. </w:t>
      </w:r>
    </w:p>
    <w:p w14:paraId="453B0EEA" w14:textId="77777777" w:rsidR="00C72D9C" w:rsidRPr="00C72D9C" w:rsidRDefault="00C72D9C" w:rsidP="00C72D9C">
      <w:pPr>
        <w:jc w:val="both"/>
        <w:rPr>
          <w:rFonts w:ascii="Calibri" w:eastAsia="MS Mincho" w:hAnsi="Calibri" w:cs="Calibri"/>
          <w:color w:val="000000" w:themeColor="text1"/>
          <w:sz w:val="22"/>
          <w:szCs w:val="22"/>
          <w:bdr w:val="none" w:sz="0" w:space="0" w:color="auto" w:frame="1"/>
        </w:rPr>
      </w:pPr>
    </w:p>
    <w:p w14:paraId="05B806FF" w14:textId="77777777" w:rsidR="00C72D9C" w:rsidRPr="00C72D9C" w:rsidRDefault="00C72D9C" w:rsidP="00C72D9C">
      <w:pPr>
        <w:jc w:val="both"/>
        <w:rPr>
          <w:rFonts w:ascii="Calibri" w:eastAsia="MS Mincho" w:hAnsi="Calibri" w:cs="Calibri"/>
          <w:sz w:val="22"/>
          <w:szCs w:val="22"/>
        </w:rPr>
      </w:pPr>
      <w:r w:rsidRPr="00C72D9C">
        <w:rPr>
          <w:rFonts w:ascii="Calibri" w:eastAsia="MS Mincho" w:hAnsi="Calibri" w:cs="Calibri"/>
          <w:sz w:val="22"/>
          <w:szCs w:val="22"/>
        </w:rPr>
        <w:t>Tuttavia, nel</w:t>
      </w:r>
      <w:r w:rsidRPr="00C72D9C">
        <w:rPr>
          <w:rFonts w:ascii="Calibri" w:eastAsia="MS Mincho" w:hAnsi="Calibri" w:cs="Calibri"/>
          <w:b/>
          <w:bCs/>
          <w:sz w:val="22"/>
          <w:szCs w:val="22"/>
        </w:rPr>
        <w:t xml:space="preserve"> primo</w:t>
      </w:r>
      <w:r w:rsidRPr="00C72D9C">
        <w:rPr>
          <w:rFonts w:ascii="Calibri" w:eastAsia="MS Mincho" w:hAnsi="Calibri" w:cs="Calibri"/>
          <w:sz w:val="22"/>
          <w:szCs w:val="22"/>
        </w:rPr>
        <w:t xml:space="preserve"> </w:t>
      </w:r>
      <w:r w:rsidRPr="00C72D9C">
        <w:rPr>
          <w:rFonts w:ascii="Calibri" w:eastAsia="MS Mincho" w:hAnsi="Calibri" w:cs="Calibri"/>
          <w:b/>
          <w:bCs/>
          <w:sz w:val="22"/>
          <w:szCs w:val="22"/>
        </w:rPr>
        <w:t>quadrimestre 2022 vs stesso periodo 2019</w:t>
      </w:r>
      <w:r w:rsidRPr="00C72D9C">
        <w:rPr>
          <w:rFonts w:ascii="Calibri" w:eastAsia="MS Mincho" w:hAnsi="Calibri" w:cs="Calibri"/>
          <w:sz w:val="22"/>
          <w:szCs w:val="22"/>
        </w:rPr>
        <w:t xml:space="preserve"> il mercato perde ancora terreno e chiude a </w:t>
      </w:r>
      <w:r w:rsidRPr="00C72D9C">
        <w:rPr>
          <w:rFonts w:ascii="Calibri" w:eastAsia="MS Mincho" w:hAnsi="Calibri" w:cs="Calibri"/>
          <w:b/>
          <w:bCs/>
          <w:sz w:val="22"/>
          <w:szCs w:val="22"/>
        </w:rPr>
        <w:t xml:space="preserve">-16%. </w:t>
      </w:r>
      <w:r w:rsidRPr="00C72D9C">
        <w:rPr>
          <w:rFonts w:ascii="Calibri" w:eastAsia="MS Mincho" w:hAnsi="Calibri" w:cs="Calibri"/>
          <w:sz w:val="22"/>
          <w:szCs w:val="22"/>
        </w:rPr>
        <w:t xml:space="preserve">A incidere sulla flessione sono soprattutto i primi due mesi del 2022, segnati sia dalla recrudescenza del virus, che ha costretto in casa milioni di italiani, sia dall’incertezza legata al conflitto in atto.  </w:t>
      </w:r>
    </w:p>
    <w:p w14:paraId="7FF10BE5" w14:textId="77777777" w:rsidR="00C72D9C" w:rsidRPr="00C72D9C" w:rsidRDefault="00C72D9C" w:rsidP="00C72D9C">
      <w:pPr>
        <w:jc w:val="both"/>
        <w:rPr>
          <w:rFonts w:ascii="Calibri" w:eastAsia="MS Mincho" w:hAnsi="Calibri" w:cs="Calibri"/>
          <w:sz w:val="22"/>
          <w:szCs w:val="22"/>
        </w:rPr>
      </w:pPr>
    </w:p>
    <w:p w14:paraId="5D625749" w14:textId="77777777" w:rsidR="00C72D9C" w:rsidRPr="00C72D9C" w:rsidRDefault="00C72D9C" w:rsidP="00C72D9C">
      <w:pPr>
        <w:jc w:val="both"/>
        <w:rPr>
          <w:rFonts w:ascii="Calibri" w:eastAsia="MS Mincho" w:hAnsi="Calibri" w:cs="Calibri"/>
          <w:sz w:val="22"/>
          <w:szCs w:val="22"/>
        </w:rPr>
      </w:pPr>
      <w:r w:rsidRPr="00C72D9C">
        <w:rPr>
          <w:rFonts w:ascii="Calibri" w:eastAsia="MS Mincho" w:hAnsi="Calibri" w:cs="Calibri"/>
          <w:sz w:val="22"/>
          <w:szCs w:val="22"/>
        </w:rPr>
        <w:t xml:space="preserve">Nei settori merceologici, si raggiungono i livelli pre-pandemia con il </w:t>
      </w:r>
      <w:r w:rsidRPr="00C72D9C">
        <w:rPr>
          <w:rFonts w:ascii="Calibri" w:eastAsia="MS Mincho" w:hAnsi="Calibri" w:cs="Calibri"/>
          <w:b/>
          <w:bCs/>
          <w:sz w:val="22"/>
          <w:szCs w:val="22"/>
        </w:rPr>
        <w:t>retail non food</w:t>
      </w:r>
      <w:r w:rsidRPr="00C72D9C">
        <w:rPr>
          <w:rFonts w:ascii="Calibri" w:eastAsia="MS Mincho" w:hAnsi="Calibri" w:cs="Calibri"/>
          <w:sz w:val="22"/>
          <w:szCs w:val="22"/>
        </w:rPr>
        <w:t xml:space="preserve"> che chiude il mese di aprile a </w:t>
      </w:r>
      <w:r w:rsidRPr="00C72D9C">
        <w:rPr>
          <w:rFonts w:ascii="Calibri" w:eastAsia="MS Mincho" w:hAnsi="Calibri" w:cs="Calibri"/>
          <w:b/>
          <w:bCs/>
          <w:sz w:val="22"/>
          <w:szCs w:val="22"/>
        </w:rPr>
        <w:t>+4,9%</w:t>
      </w:r>
      <w:r w:rsidRPr="00C72D9C">
        <w:rPr>
          <w:rFonts w:ascii="Calibri" w:eastAsia="MS Mincho" w:hAnsi="Calibri" w:cs="Calibri"/>
          <w:sz w:val="22"/>
          <w:szCs w:val="22"/>
        </w:rPr>
        <w:t xml:space="preserve"> e la </w:t>
      </w:r>
      <w:r w:rsidRPr="00C72D9C">
        <w:rPr>
          <w:rFonts w:ascii="Calibri" w:eastAsia="MS Mincho" w:hAnsi="Calibri" w:cs="Calibri"/>
          <w:b/>
          <w:bCs/>
          <w:sz w:val="22"/>
          <w:szCs w:val="22"/>
        </w:rPr>
        <w:t>ristorazione</w:t>
      </w:r>
      <w:r w:rsidRPr="00C72D9C">
        <w:rPr>
          <w:rFonts w:ascii="Calibri" w:eastAsia="MS Mincho" w:hAnsi="Calibri" w:cs="Calibri"/>
          <w:sz w:val="22"/>
          <w:szCs w:val="22"/>
        </w:rPr>
        <w:t xml:space="preserve"> a </w:t>
      </w:r>
      <w:r w:rsidRPr="00C72D9C">
        <w:rPr>
          <w:rFonts w:ascii="Calibri" w:eastAsia="MS Mincho" w:hAnsi="Calibri" w:cs="Calibri"/>
          <w:b/>
          <w:bCs/>
          <w:sz w:val="22"/>
          <w:szCs w:val="22"/>
        </w:rPr>
        <w:t>+0,9%.</w:t>
      </w:r>
      <w:r w:rsidRPr="00C72D9C">
        <w:rPr>
          <w:rFonts w:ascii="Calibri" w:eastAsia="MS Mincho" w:hAnsi="Calibri" w:cs="Calibri"/>
          <w:sz w:val="22"/>
          <w:szCs w:val="22"/>
        </w:rPr>
        <w:t xml:space="preserve"> Una boccata d’ossigeno, che si era già vista nei mesi precedenti con un parziale recupero per entrambi i settori e mostra un cambio di passo. Non c’è ancora ripresa per </w:t>
      </w:r>
      <w:r w:rsidRPr="00C72D9C">
        <w:rPr>
          <w:rFonts w:ascii="Calibri" w:eastAsia="MS Mincho" w:hAnsi="Calibri" w:cs="Calibri"/>
          <w:b/>
          <w:bCs/>
          <w:sz w:val="22"/>
          <w:szCs w:val="22"/>
        </w:rPr>
        <w:t>abbigliamento-accessori,</w:t>
      </w:r>
      <w:r w:rsidRPr="00C72D9C">
        <w:rPr>
          <w:rFonts w:ascii="Calibri" w:eastAsia="MS Mincho" w:hAnsi="Calibri" w:cs="Calibri"/>
          <w:sz w:val="22"/>
          <w:szCs w:val="22"/>
        </w:rPr>
        <w:t xml:space="preserve"> in flessione del </w:t>
      </w:r>
      <w:r w:rsidRPr="00C72D9C">
        <w:rPr>
          <w:rFonts w:ascii="Calibri" w:eastAsia="MS Mincho" w:hAnsi="Calibri" w:cs="Calibri"/>
          <w:b/>
          <w:bCs/>
          <w:sz w:val="22"/>
          <w:szCs w:val="22"/>
        </w:rPr>
        <w:t>-20,1%</w:t>
      </w:r>
      <w:r w:rsidRPr="00C72D9C">
        <w:rPr>
          <w:rFonts w:ascii="Calibri" w:eastAsia="MS Mincho" w:hAnsi="Calibri" w:cs="Calibri"/>
          <w:sz w:val="22"/>
          <w:szCs w:val="22"/>
        </w:rPr>
        <w:t xml:space="preserve">, anche se si evidenziano segnali di leggero miglioramento rispetto a marzo 2022 che aveva chiuso a -31,1% su marzo 2019. </w:t>
      </w:r>
    </w:p>
    <w:p w14:paraId="20BB788B" w14:textId="77777777" w:rsidR="00C72D9C" w:rsidRPr="00C72D9C" w:rsidRDefault="00C72D9C" w:rsidP="00C72D9C">
      <w:pPr>
        <w:jc w:val="both"/>
        <w:rPr>
          <w:rFonts w:ascii="Calibri" w:eastAsia="MS Mincho" w:hAnsi="Calibri" w:cs="Calibri"/>
          <w:sz w:val="22"/>
          <w:szCs w:val="22"/>
        </w:rPr>
      </w:pPr>
    </w:p>
    <w:p w14:paraId="28987214" w14:textId="1FD8DFB5" w:rsidR="00123A1E" w:rsidRDefault="00C72D9C" w:rsidP="00C72D9C">
      <w:pPr>
        <w:jc w:val="both"/>
        <w:rPr>
          <w:rFonts w:ascii="Calibri" w:eastAsia="MS Mincho" w:hAnsi="Calibri" w:cs="Calibri"/>
          <w:b/>
          <w:bCs/>
          <w:sz w:val="22"/>
          <w:szCs w:val="22"/>
        </w:rPr>
      </w:pPr>
      <w:r w:rsidRPr="00C72D9C">
        <w:rPr>
          <w:rFonts w:ascii="Calibri" w:eastAsia="MS Mincho" w:hAnsi="Calibri" w:cs="Calibri"/>
          <w:b/>
          <w:bCs/>
          <w:sz w:val="22"/>
          <w:szCs w:val="22"/>
        </w:rPr>
        <w:t>Quanto al primo quadrimestre 2022 vs 2019</w:t>
      </w:r>
      <w:r w:rsidRPr="00C72D9C">
        <w:rPr>
          <w:rFonts w:ascii="Calibri" w:eastAsia="MS Mincho" w:hAnsi="Calibri" w:cs="Calibri"/>
          <w:sz w:val="22"/>
          <w:szCs w:val="22"/>
        </w:rPr>
        <w:t xml:space="preserve">, i dati mostrano un quadro sovrapponibile agli andamenti del mese di aprile con il retail </w:t>
      </w:r>
      <w:r w:rsidRPr="00C72D9C">
        <w:rPr>
          <w:rFonts w:ascii="Calibri" w:eastAsia="MS Mincho" w:hAnsi="Calibri" w:cs="Calibri"/>
          <w:b/>
          <w:bCs/>
          <w:sz w:val="22"/>
          <w:szCs w:val="22"/>
        </w:rPr>
        <w:t xml:space="preserve">non food </w:t>
      </w:r>
      <w:r w:rsidRPr="00C72D9C">
        <w:rPr>
          <w:rFonts w:ascii="Calibri" w:eastAsia="MS Mincho" w:hAnsi="Calibri" w:cs="Calibri"/>
          <w:sz w:val="22"/>
          <w:szCs w:val="22"/>
        </w:rPr>
        <w:t>a</w:t>
      </w:r>
      <w:r w:rsidRPr="00C72D9C">
        <w:rPr>
          <w:rFonts w:ascii="Calibri" w:eastAsia="MS Mincho" w:hAnsi="Calibri" w:cs="Calibri"/>
          <w:b/>
          <w:bCs/>
          <w:sz w:val="22"/>
          <w:szCs w:val="22"/>
        </w:rPr>
        <w:t xml:space="preserve"> +1,8%,</w:t>
      </w:r>
      <w:r w:rsidRPr="00C72D9C">
        <w:rPr>
          <w:rFonts w:ascii="Calibri" w:eastAsia="MS Mincho" w:hAnsi="Calibri" w:cs="Calibri"/>
          <w:sz w:val="22"/>
          <w:szCs w:val="22"/>
        </w:rPr>
        <w:t xml:space="preserve"> la </w:t>
      </w:r>
      <w:r w:rsidRPr="00C72D9C">
        <w:rPr>
          <w:rFonts w:ascii="Calibri" w:eastAsia="MS Mincho" w:hAnsi="Calibri" w:cs="Calibri"/>
          <w:b/>
          <w:bCs/>
          <w:sz w:val="22"/>
          <w:szCs w:val="22"/>
        </w:rPr>
        <w:t>ristorazione</w:t>
      </w:r>
      <w:r w:rsidRPr="00C72D9C">
        <w:rPr>
          <w:rFonts w:ascii="Calibri" w:eastAsia="MS Mincho" w:hAnsi="Calibri" w:cs="Calibri"/>
          <w:sz w:val="22"/>
          <w:szCs w:val="22"/>
        </w:rPr>
        <w:t xml:space="preserve"> a </w:t>
      </w:r>
      <w:r w:rsidRPr="00C72D9C">
        <w:rPr>
          <w:rFonts w:ascii="Calibri" w:eastAsia="MS Mincho" w:hAnsi="Calibri" w:cs="Calibri"/>
          <w:b/>
          <w:bCs/>
          <w:sz w:val="22"/>
          <w:szCs w:val="22"/>
        </w:rPr>
        <w:t>-6,3%</w:t>
      </w:r>
      <w:r w:rsidRPr="00C72D9C">
        <w:rPr>
          <w:rFonts w:ascii="Calibri" w:eastAsia="MS Mincho" w:hAnsi="Calibri" w:cs="Calibri"/>
          <w:sz w:val="22"/>
          <w:szCs w:val="22"/>
        </w:rPr>
        <w:t xml:space="preserve"> e </w:t>
      </w:r>
      <w:r w:rsidRPr="00C72D9C">
        <w:rPr>
          <w:rFonts w:ascii="Calibri" w:eastAsia="MS Mincho" w:hAnsi="Calibri" w:cs="Calibri"/>
          <w:b/>
          <w:bCs/>
          <w:sz w:val="22"/>
          <w:szCs w:val="22"/>
        </w:rPr>
        <w:t xml:space="preserve">abbigliamento-accessori </w:t>
      </w:r>
      <w:r w:rsidRPr="00C72D9C">
        <w:rPr>
          <w:rFonts w:ascii="Calibri" w:eastAsia="MS Mincho" w:hAnsi="Calibri" w:cs="Calibri"/>
          <w:sz w:val="22"/>
          <w:szCs w:val="22"/>
        </w:rPr>
        <w:t>a</w:t>
      </w:r>
      <w:r w:rsidRPr="00C72D9C">
        <w:rPr>
          <w:rFonts w:ascii="Calibri" w:eastAsia="MS Mincho" w:hAnsi="Calibri" w:cs="Calibri"/>
          <w:b/>
          <w:bCs/>
          <w:sz w:val="22"/>
          <w:szCs w:val="22"/>
        </w:rPr>
        <w:t xml:space="preserve"> -28,1%</w:t>
      </w:r>
      <w:r w:rsidRPr="00C72D9C">
        <w:rPr>
          <w:rFonts w:ascii="Calibri" w:eastAsia="MS Mincho" w:hAnsi="Calibri" w:cs="Calibri"/>
          <w:sz w:val="22"/>
          <w:szCs w:val="22"/>
        </w:rPr>
        <w:t>.</w:t>
      </w:r>
      <w:r w:rsidRPr="00C72D9C">
        <w:rPr>
          <w:rFonts w:ascii="Calibri" w:eastAsia="MS Mincho" w:hAnsi="Calibri" w:cs="Calibri"/>
          <w:b/>
          <w:bCs/>
          <w:sz w:val="22"/>
          <w:szCs w:val="22"/>
        </w:rPr>
        <w:t xml:space="preserve"> </w:t>
      </w:r>
    </w:p>
    <w:p w14:paraId="3FFBE17C" w14:textId="3D063A46" w:rsidR="00123A1E" w:rsidRDefault="00123A1E" w:rsidP="00C72D9C">
      <w:pPr>
        <w:jc w:val="both"/>
        <w:rPr>
          <w:rFonts w:ascii="Calibri" w:eastAsia="MS Mincho" w:hAnsi="Calibri" w:cs="Calibri"/>
          <w:b/>
          <w:bCs/>
          <w:sz w:val="22"/>
          <w:szCs w:val="22"/>
        </w:rPr>
      </w:pPr>
    </w:p>
    <w:p w14:paraId="32F65C4F" w14:textId="3040041D" w:rsidR="00123A1E" w:rsidRDefault="00123A1E" w:rsidP="00C72D9C">
      <w:pPr>
        <w:jc w:val="both"/>
        <w:rPr>
          <w:rFonts w:ascii="Calibri" w:eastAsia="MS Mincho" w:hAnsi="Calibri" w:cs="Calibri"/>
          <w:b/>
          <w:bCs/>
          <w:sz w:val="22"/>
          <w:szCs w:val="22"/>
        </w:rPr>
      </w:pPr>
    </w:p>
    <w:p w14:paraId="22EA95F8" w14:textId="1C87FEDF" w:rsidR="00123A1E" w:rsidRDefault="00123A1E" w:rsidP="00C72D9C">
      <w:pPr>
        <w:jc w:val="both"/>
        <w:rPr>
          <w:rFonts w:ascii="Calibri" w:eastAsia="MS Mincho" w:hAnsi="Calibri" w:cs="Calibri"/>
          <w:b/>
          <w:bCs/>
          <w:sz w:val="22"/>
          <w:szCs w:val="22"/>
        </w:rPr>
      </w:pPr>
    </w:p>
    <w:p w14:paraId="28497832" w14:textId="68A46846" w:rsidR="00123A1E" w:rsidRDefault="00123A1E" w:rsidP="00123A1E">
      <w:pPr>
        <w:jc w:val="center"/>
        <w:rPr>
          <w:rFonts w:ascii="Calibri" w:eastAsia="MS Mincho" w:hAnsi="Calibri" w:cs="Calibri"/>
          <w:b/>
          <w:bCs/>
          <w:sz w:val="22"/>
          <w:szCs w:val="22"/>
        </w:rPr>
      </w:pPr>
      <w:r>
        <w:rPr>
          <w:rFonts w:ascii="Calibri" w:eastAsia="MS Mincho" w:hAnsi="Calibri" w:cs="Calibri"/>
          <w:b/>
          <w:bCs/>
          <w:noProof/>
          <w:sz w:val="22"/>
          <w:szCs w:val="22"/>
        </w:rPr>
        <w:drawing>
          <wp:inline distT="0" distB="0" distL="0" distR="0" wp14:anchorId="7E41A6E7" wp14:editId="14184C7E">
            <wp:extent cx="2519873" cy="2684277"/>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5276" cy="2700685"/>
                    </a:xfrm>
                    <a:prstGeom prst="rect">
                      <a:avLst/>
                    </a:prstGeom>
                    <a:noFill/>
                  </pic:spPr>
                </pic:pic>
              </a:graphicData>
            </a:graphic>
          </wp:inline>
        </w:drawing>
      </w:r>
    </w:p>
    <w:p w14:paraId="06413141" w14:textId="77777777" w:rsidR="00123A1E" w:rsidRPr="00C72D9C" w:rsidRDefault="00123A1E" w:rsidP="00123A1E">
      <w:pPr>
        <w:jc w:val="center"/>
        <w:rPr>
          <w:rFonts w:ascii="Calibri" w:eastAsia="MS Mincho" w:hAnsi="Calibri" w:cs="Calibri"/>
          <w:b/>
          <w:bCs/>
          <w:sz w:val="22"/>
          <w:szCs w:val="22"/>
        </w:rPr>
      </w:pPr>
    </w:p>
    <w:p w14:paraId="14D9F21F" w14:textId="77777777" w:rsidR="00C72D9C" w:rsidRPr="00C72D9C" w:rsidRDefault="00C72D9C" w:rsidP="00C72D9C">
      <w:pPr>
        <w:jc w:val="both"/>
        <w:rPr>
          <w:rFonts w:ascii="Calibri" w:eastAsia="Times New Roman" w:hAnsi="Calibri" w:cs="Calibri"/>
          <w:sz w:val="22"/>
          <w:szCs w:val="22"/>
        </w:rPr>
      </w:pPr>
    </w:p>
    <w:p w14:paraId="082A4A4F" w14:textId="74B07F48" w:rsidR="00C72D9C" w:rsidRPr="00C72D9C" w:rsidRDefault="00C72D9C" w:rsidP="00C72D9C">
      <w:pPr>
        <w:jc w:val="both"/>
        <w:rPr>
          <w:rFonts w:ascii="Calibri" w:eastAsia="MS Mincho" w:hAnsi="Calibri" w:cs="Calibri"/>
          <w:sz w:val="22"/>
          <w:szCs w:val="22"/>
        </w:rPr>
      </w:pPr>
      <w:r w:rsidRPr="00C72D9C">
        <w:rPr>
          <w:rFonts w:ascii="Calibri" w:eastAsia="MS Mincho" w:hAnsi="Calibri" w:cs="Calibri"/>
          <w:b/>
          <w:bCs/>
          <w:sz w:val="22"/>
          <w:szCs w:val="22"/>
        </w:rPr>
        <w:t>Nei canali di vendita</w:t>
      </w:r>
      <w:r w:rsidRPr="00C72D9C">
        <w:rPr>
          <w:rFonts w:ascii="Calibri" w:eastAsia="MS Mincho" w:hAnsi="Calibri" w:cs="Calibri"/>
          <w:sz w:val="22"/>
          <w:szCs w:val="22"/>
        </w:rPr>
        <w:t xml:space="preserve"> continua il buon andamento dello </w:t>
      </w:r>
      <w:r w:rsidRPr="00C72D9C">
        <w:rPr>
          <w:rFonts w:ascii="Calibri" w:eastAsia="Times New Roman" w:hAnsi="Calibri" w:cs="Calibri"/>
          <w:b/>
          <w:bCs/>
          <w:sz w:val="22"/>
          <w:szCs w:val="22"/>
        </w:rPr>
        <w:t>shopping di prossimità</w:t>
      </w:r>
      <w:r w:rsidRPr="00C72D9C">
        <w:rPr>
          <w:rFonts w:ascii="Calibri" w:eastAsia="Times New Roman" w:hAnsi="Calibri" w:cs="Calibri"/>
          <w:sz w:val="22"/>
          <w:szCs w:val="22"/>
        </w:rPr>
        <w:t xml:space="preserve"> (aree periferiche delle metropoli e cittadine di provincia), che chiude il mese di aprile a </w:t>
      </w:r>
      <w:r w:rsidRPr="00C72D9C">
        <w:rPr>
          <w:rFonts w:ascii="Calibri" w:eastAsia="Times New Roman" w:hAnsi="Calibri" w:cs="Calibri"/>
          <w:b/>
          <w:bCs/>
          <w:sz w:val="22"/>
          <w:szCs w:val="22"/>
        </w:rPr>
        <w:t>+4,4%</w:t>
      </w:r>
      <w:r w:rsidRPr="00C72D9C">
        <w:rPr>
          <w:rFonts w:ascii="Calibri" w:eastAsia="Times New Roman" w:hAnsi="Calibri" w:cs="Calibri"/>
          <w:sz w:val="22"/>
          <w:szCs w:val="22"/>
        </w:rPr>
        <w:t xml:space="preserve"> e consacra l’importanza del canale e le mutate abitudini d’acquisto dei consumatori, che scelgono i negozi di vicinato per comodità e sicurezza. Tutti gli altri canali registrano, di contro, una perdurante flessione. A partire da </w:t>
      </w:r>
      <w:r w:rsidRPr="00C72D9C">
        <w:rPr>
          <w:rFonts w:ascii="Calibri" w:eastAsia="Times New Roman" w:hAnsi="Calibri" w:cs="Calibri"/>
          <w:b/>
          <w:bCs/>
          <w:sz w:val="22"/>
          <w:szCs w:val="22"/>
        </w:rPr>
        <w:t>outlet -17,4%</w:t>
      </w:r>
      <w:r w:rsidRPr="00C72D9C">
        <w:rPr>
          <w:rFonts w:ascii="Calibri" w:eastAsia="Times New Roman" w:hAnsi="Calibri" w:cs="Calibri"/>
          <w:sz w:val="22"/>
          <w:szCs w:val="22"/>
        </w:rPr>
        <w:t xml:space="preserve">, </w:t>
      </w:r>
      <w:r w:rsidRPr="00C72D9C">
        <w:rPr>
          <w:rFonts w:ascii="Calibri" w:eastAsia="Times New Roman" w:hAnsi="Calibri" w:cs="Calibri"/>
          <w:b/>
          <w:bCs/>
          <w:sz w:val="22"/>
          <w:szCs w:val="22"/>
        </w:rPr>
        <w:t xml:space="preserve">centri commerciali -16,6% </w:t>
      </w:r>
      <w:r w:rsidRPr="00C72D9C">
        <w:rPr>
          <w:rFonts w:ascii="Calibri" w:eastAsia="Times New Roman" w:hAnsi="Calibri" w:cs="Calibri"/>
          <w:sz w:val="22"/>
          <w:szCs w:val="22"/>
        </w:rPr>
        <w:t xml:space="preserve">e </w:t>
      </w:r>
      <w:r w:rsidRPr="00C72D9C">
        <w:rPr>
          <w:rFonts w:ascii="Calibri" w:eastAsia="Times New Roman" w:hAnsi="Calibri" w:cs="Calibri"/>
          <w:b/>
          <w:bCs/>
          <w:sz w:val="22"/>
          <w:szCs w:val="22"/>
        </w:rPr>
        <w:t>high street</w:t>
      </w:r>
      <w:r w:rsidRPr="00C72D9C">
        <w:rPr>
          <w:rFonts w:ascii="Calibri" w:eastAsia="Times New Roman" w:hAnsi="Calibri" w:cs="Calibri"/>
          <w:sz w:val="22"/>
          <w:szCs w:val="22"/>
        </w:rPr>
        <w:t xml:space="preserve"> </w:t>
      </w:r>
      <w:r w:rsidRPr="00C72D9C">
        <w:rPr>
          <w:rFonts w:ascii="Calibri" w:eastAsia="Times New Roman" w:hAnsi="Calibri" w:cs="Calibri"/>
          <w:b/>
          <w:bCs/>
          <w:sz w:val="22"/>
          <w:szCs w:val="22"/>
        </w:rPr>
        <w:t>-14,5%</w:t>
      </w:r>
      <w:r w:rsidRPr="00C72D9C">
        <w:rPr>
          <w:rFonts w:ascii="Calibri" w:eastAsia="Times New Roman" w:hAnsi="Calibri" w:cs="Calibri"/>
          <w:sz w:val="22"/>
          <w:szCs w:val="22"/>
        </w:rPr>
        <w:t xml:space="preserve">, per finire con il </w:t>
      </w:r>
      <w:r w:rsidRPr="00C72D9C">
        <w:rPr>
          <w:rFonts w:ascii="Calibri" w:eastAsia="Times New Roman" w:hAnsi="Calibri" w:cs="Calibri"/>
          <w:b/>
          <w:bCs/>
          <w:sz w:val="22"/>
          <w:szCs w:val="22"/>
        </w:rPr>
        <w:t>travel -16,6%</w:t>
      </w:r>
      <w:r w:rsidRPr="00C72D9C">
        <w:rPr>
          <w:rFonts w:ascii="Calibri" w:eastAsia="Times New Roman" w:hAnsi="Calibri" w:cs="Calibri"/>
          <w:sz w:val="22"/>
          <w:szCs w:val="22"/>
        </w:rPr>
        <w:t>, che prosegue nella fase di leggero recupero</w:t>
      </w:r>
      <w:r w:rsidR="007E6249">
        <w:rPr>
          <w:rFonts w:ascii="Calibri" w:eastAsia="Times New Roman" w:hAnsi="Calibri" w:cs="Calibri"/>
          <w:sz w:val="22"/>
          <w:szCs w:val="22"/>
        </w:rPr>
        <w:t>,</w:t>
      </w:r>
      <w:r w:rsidRPr="00C72D9C">
        <w:rPr>
          <w:rFonts w:ascii="Calibri" w:eastAsia="Times New Roman" w:hAnsi="Calibri" w:cs="Calibri"/>
          <w:sz w:val="22"/>
          <w:szCs w:val="22"/>
        </w:rPr>
        <w:t xml:space="preserve"> </w:t>
      </w:r>
      <w:r w:rsidR="007E6249">
        <w:rPr>
          <w:rFonts w:ascii="Calibri" w:eastAsia="Times New Roman" w:hAnsi="Calibri" w:cs="Calibri"/>
          <w:sz w:val="22"/>
          <w:szCs w:val="22"/>
        </w:rPr>
        <w:t xml:space="preserve">rispetto al forte calo dei due anni passati, </w:t>
      </w:r>
      <w:r w:rsidRPr="00C72D9C">
        <w:rPr>
          <w:rFonts w:ascii="Calibri" w:eastAsia="Times New Roman" w:hAnsi="Calibri" w:cs="Calibri"/>
          <w:sz w:val="22"/>
          <w:szCs w:val="22"/>
        </w:rPr>
        <w:t xml:space="preserve">iniziata nel mese di marzo. </w:t>
      </w:r>
    </w:p>
    <w:p w14:paraId="59717145" w14:textId="1D3DA1A6" w:rsidR="00C72D9C" w:rsidRDefault="00C72D9C" w:rsidP="00C72D9C">
      <w:pPr>
        <w:jc w:val="both"/>
        <w:rPr>
          <w:rFonts w:ascii="Calibri" w:eastAsia="Times New Roman" w:hAnsi="Calibri" w:cs="Calibri"/>
          <w:sz w:val="22"/>
          <w:szCs w:val="22"/>
        </w:rPr>
      </w:pPr>
    </w:p>
    <w:p w14:paraId="606F242F" w14:textId="1F758BA1" w:rsidR="00123A1E" w:rsidRDefault="00123A1E" w:rsidP="00123A1E">
      <w:pPr>
        <w:jc w:val="center"/>
        <w:rPr>
          <w:rFonts w:ascii="Calibri" w:eastAsia="Times New Roman" w:hAnsi="Calibri" w:cs="Calibri"/>
          <w:sz w:val="22"/>
          <w:szCs w:val="22"/>
        </w:rPr>
      </w:pPr>
      <w:r>
        <w:rPr>
          <w:rFonts w:ascii="Calibri" w:eastAsia="Times New Roman" w:hAnsi="Calibri" w:cs="Calibri"/>
          <w:noProof/>
          <w:sz w:val="22"/>
          <w:szCs w:val="22"/>
        </w:rPr>
        <w:drawing>
          <wp:inline distT="0" distB="0" distL="0" distR="0" wp14:anchorId="6BD7F9BB" wp14:editId="37CA710C">
            <wp:extent cx="3007470" cy="2152650"/>
            <wp:effectExtent l="0" t="0" r="254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7359" cy="2166886"/>
                    </a:xfrm>
                    <a:prstGeom prst="rect">
                      <a:avLst/>
                    </a:prstGeom>
                    <a:noFill/>
                  </pic:spPr>
                </pic:pic>
              </a:graphicData>
            </a:graphic>
          </wp:inline>
        </w:drawing>
      </w:r>
    </w:p>
    <w:p w14:paraId="0AE18397" w14:textId="0881F407" w:rsidR="00123A1E" w:rsidRDefault="00123A1E" w:rsidP="00C72D9C">
      <w:pPr>
        <w:jc w:val="both"/>
        <w:rPr>
          <w:rFonts w:ascii="Calibri" w:eastAsia="Times New Roman" w:hAnsi="Calibri" w:cs="Calibri"/>
          <w:sz w:val="22"/>
          <w:szCs w:val="22"/>
        </w:rPr>
      </w:pPr>
    </w:p>
    <w:p w14:paraId="7C7B5E8C" w14:textId="23E70EEE" w:rsidR="00123A1E" w:rsidRDefault="00123A1E" w:rsidP="00C72D9C">
      <w:pPr>
        <w:jc w:val="both"/>
        <w:rPr>
          <w:rFonts w:ascii="Calibri" w:eastAsia="Times New Roman" w:hAnsi="Calibri" w:cs="Calibri"/>
          <w:sz w:val="22"/>
          <w:szCs w:val="22"/>
        </w:rPr>
      </w:pPr>
    </w:p>
    <w:p w14:paraId="723493DA" w14:textId="77777777" w:rsidR="00123A1E" w:rsidRPr="00C72D9C" w:rsidRDefault="00123A1E" w:rsidP="00C72D9C">
      <w:pPr>
        <w:jc w:val="both"/>
        <w:rPr>
          <w:rFonts w:ascii="Calibri" w:eastAsia="Times New Roman" w:hAnsi="Calibri" w:cs="Calibri"/>
          <w:sz w:val="22"/>
          <w:szCs w:val="22"/>
        </w:rPr>
      </w:pPr>
    </w:p>
    <w:p w14:paraId="70134339" w14:textId="7B7A58E1" w:rsidR="00C72D9C" w:rsidRDefault="00C72D9C" w:rsidP="00C72D9C">
      <w:pPr>
        <w:jc w:val="both"/>
        <w:rPr>
          <w:rFonts w:ascii="Calibri" w:eastAsia="MS Mincho" w:hAnsi="Calibri" w:cs="Calibri"/>
          <w:sz w:val="22"/>
          <w:szCs w:val="22"/>
        </w:rPr>
      </w:pPr>
      <w:r w:rsidRPr="00C72D9C">
        <w:rPr>
          <w:rFonts w:ascii="Calibri" w:eastAsia="MS Mincho" w:hAnsi="Calibri" w:cs="Calibri"/>
          <w:b/>
          <w:bCs/>
          <w:sz w:val="22"/>
          <w:szCs w:val="22"/>
        </w:rPr>
        <w:t>Nelle aree geografiche</w:t>
      </w:r>
      <w:r w:rsidRPr="00C72D9C">
        <w:rPr>
          <w:rFonts w:ascii="Calibri" w:eastAsia="MS Mincho" w:hAnsi="Calibri" w:cs="Calibri"/>
          <w:sz w:val="22"/>
          <w:szCs w:val="22"/>
        </w:rPr>
        <w:t xml:space="preserve"> continua il buon andamento del </w:t>
      </w:r>
      <w:r w:rsidRPr="00C72D9C">
        <w:rPr>
          <w:rFonts w:ascii="Calibri" w:eastAsia="MS Mincho" w:hAnsi="Calibri" w:cs="Calibri"/>
          <w:b/>
          <w:bCs/>
          <w:sz w:val="22"/>
          <w:szCs w:val="22"/>
        </w:rPr>
        <w:t>Sud</w:t>
      </w:r>
      <w:r w:rsidRPr="00C72D9C">
        <w:rPr>
          <w:rFonts w:ascii="Calibri" w:eastAsia="MS Mincho" w:hAnsi="Calibri" w:cs="Calibri"/>
          <w:sz w:val="22"/>
          <w:szCs w:val="22"/>
        </w:rPr>
        <w:t xml:space="preserve">, che si lascia alle spalle il segno meno e consolida i consumi a </w:t>
      </w:r>
      <w:r w:rsidRPr="00C72D9C">
        <w:rPr>
          <w:rFonts w:ascii="Calibri" w:eastAsia="MS Mincho" w:hAnsi="Calibri" w:cs="Calibri"/>
          <w:b/>
          <w:bCs/>
          <w:sz w:val="22"/>
          <w:szCs w:val="22"/>
        </w:rPr>
        <w:t>+1%,</w:t>
      </w:r>
      <w:r w:rsidRPr="00C72D9C">
        <w:rPr>
          <w:rFonts w:ascii="Calibri" w:eastAsia="MS Mincho" w:hAnsi="Calibri" w:cs="Calibri"/>
          <w:sz w:val="22"/>
          <w:szCs w:val="22"/>
        </w:rPr>
        <w:t xml:space="preserve"> seguito da </w:t>
      </w:r>
      <w:r w:rsidRPr="00C72D9C">
        <w:rPr>
          <w:rFonts w:ascii="Calibri" w:eastAsia="MS Mincho" w:hAnsi="Calibri" w:cs="Calibri"/>
          <w:b/>
          <w:bCs/>
          <w:sz w:val="22"/>
          <w:szCs w:val="22"/>
        </w:rPr>
        <w:t>Centro -7,4%</w:t>
      </w:r>
      <w:r w:rsidRPr="00C72D9C">
        <w:rPr>
          <w:rFonts w:ascii="Calibri" w:eastAsia="MS Mincho" w:hAnsi="Calibri" w:cs="Calibri"/>
          <w:sz w:val="22"/>
          <w:szCs w:val="22"/>
        </w:rPr>
        <w:t xml:space="preserve"> e da </w:t>
      </w:r>
      <w:r w:rsidRPr="00C72D9C">
        <w:rPr>
          <w:rFonts w:ascii="Calibri" w:eastAsia="MS Mincho" w:hAnsi="Calibri" w:cs="Calibri"/>
          <w:b/>
          <w:bCs/>
          <w:sz w:val="22"/>
          <w:szCs w:val="22"/>
        </w:rPr>
        <w:t>Nord-ovest -8,3%</w:t>
      </w:r>
      <w:r w:rsidRPr="00C72D9C">
        <w:rPr>
          <w:rFonts w:ascii="Calibri" w:eastAsia="MS Mincho" w:hAnsi="Calibri" w:cs="Calibri"/>
          <w:sz w:val="22"/>
          <w:szCs w:val="22"/>
        </w:rPr>
        <w:t xml:space="preserve">. Permangono segnali di sofferenza per il </w:t>
      </w:r>
      <w:r w:rsidRPr="00C72D9C">
        <w:rPr>
          <w:rFonts w:ascii="Calibri" w:eastAsia="MS Mincho" w:hAnsi="Calibri" w:cs="Calibri"/>
          <w:b/>
          <w:bCs/>
          <w:sz w:val="22"/>
          <w:szCs w:val="22"/>
        </w:rPr>
        <w:t>Nord-est</w:t>
      </w:r>
      <w:r w:rsidRPr="00C72D9C">
        <w:rPr>
          <w:rFonts w:ascii="Calibri" w:eastAsia="MS Mincho" w:hAnsi="Calibri" w:cs="Calibri"/>
          <w:sz w:val="22"/>
          <w:szCs w:val="22"/>
        </w:rPr>
        <w:t xml:space="preserve">, che si conferma l’area con i peggiori trend </w:t>
      </w:r>
      <w:r w:rsidRPr="00C72D9C">
        <w:rPr>
          <w:rFonts w:ascii="Calibri" w:eastAsia="MS Mincho" w:hAnsi="Calibri" w:cs="Calibri"/>
          <w:b/>
          <w:bCs/>
          <w:sz w:val="22"/>
          <w:szCs w:val="22"/>
        </w:rPr>
        <w:t>-19,4%</w:t>
      </w:r>
      <w:r w:rsidRPr="00C72D9C">
        <w:rPr>
          <w:rFonts w:ascii="Calibri" w:eastAsia="MS Mincho" w:hAnsi="Calibri" w:cs="Calibri"/>
          <w:sz w:val="22"/>
          <w:szCs w:val="22"/>
        </w:rPr>
        <w:t xml:space="preserve">. </w:t>
      </w:r>
    </w:p>
    <w:p w14:paraId="1FB0B530" w14:textId="5923B93E" w:rsidR="00123A1E" w:rsidRDefault="00123A1E" w:rsidP="00C72D9C">
      <w:pPr>
        <w:jc w:val="both"/>
        <w:rPr>
          <w:rFonts w:ascii="Calibri" w:eastAsia="MS Mincho" w:hAnsi="Calibri" w:cs="Calibri"/>
          <w:sz w:val="22"/>
          <w:szCs w:val="22"/>
        </w:rPr>
      </w:pPr>
    </w:p>
    <w:p w14:paraId="4A867250" w14:textId="28FD8197" w:rsidR="00123A1E" w:rsidRDefault="00123A1E" w:rsidP="00123A1E">
      <w:pPr>
        <w:jc w:val="center"/>
        <w:rPr>
          <w:rFonts w:ascii="Calibri" w:eastAsia="MS Mincho" w:hAnsi="Calibri" w:cs="Calibri"/>
          <w:sz w:val="22"/>
          <w:szCs w:val="22"/>
        </w:rPr>
      </w:pPr>
      <w:r>
        <w:rPr>
          <w:rFonts w:ascii="Calibri" w:eastAsia="MS Mincho" w:hAnsi="Calibri" w:cs="Calibri"/>
          <w:noProof/>
          <w:sz w:val="22"/>
          <w:szCs w:val="22"/>
        </w:rPr>
        <w:drawing>
          <wp:inline distT="0" distB="0" distL="0" distR="0" wp14:anchorId="1FE1885E" wp14:editId="41CF4632">
            <wp:extent cx="2683551" cy="3048000"/>
            <wp:effectExtent l="0" t="0" r="254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9878" cy="3066545"/>
                    </a:xfrm>
                    <a:prstGeom prst="rect">
                      <a:avLst/>
                    </a:prstGeom>
                    <a:noFill/>
                  </pic:spPr>
                </pic:pic>
              </a:graphicData>
            </a:graphic>
          </wp:inline>
        </w:drawing>
      </w:r>
    </w:p>
    <w:p w14:paraId="20614D82" w14:textId="77777777" w:rsidR="00123A1E" w:rsidRPr="00C72D9C" w:rsidRDefault="00123A1E" w:rsidP="00123A1E">
      <w:pPr>
        <w:jc w:val="center"/>
        <w:rPr>
          <w:rFonts w:ascii="Calibri" w:eastAsia="MS Mincho" w:hAnsi="Calibri" w:cs="Calibri"/>
          <w:sz w:val="22"/>
          <w:szCs w:val="22"/>
        </w:rPr>
      </w:pPr>
    </w:p>
    <w:p w14:paraId="2E06D5C6" w14:textId="77777777" w:rsidR="00C72D9C" w:rsidRPr="00C72D9C" w:rsidRDefault="00C72D9C" w:rsidP="00C72D9C">
      <w:pPr>
        <w:jc w:val="both"/>
        <w:rPr>
          <w:rFonts w:ascii="Calibri" w:eastAsia="MS Mincho" w:hAnsi="Calibri" w:cs="Calibri"/>
          <w:sz w:val="22"/>
          <w:szCs w:val="22"/>
        </w:rPr>
      </w:pPr>
      <w:r w:rsidRPr="00C72D9C">
        <w:rPr>
          <w:rFonts w:ascii="Calibri" w:eastAsia="MS Mincho" w:hAnsi="Calibri" w:cs="Calibri"/>
          <w:sz w:val="22"/>
          <w:szCs w:val="22"/>
        </w:rPr>
        <w:t xml:space="preserve"> </w:t>
      </w:r>
    </w:p>
    <w:p w14:paraId="5D56D617" w14:textId="64D678AA" w:rsidR="00234AE5" w:rsidRPr="00DD36D8" w:rsidRDefault="00234AE5" w:rsidP="00234AE5">
      <w:pPr>
        <w:jc w:val="both"/>
        <w:rPr>
          <w:rFonts w:asciiTheme="majorHAnsi" w:hAnsiTheme="majorHAnsi" w:cstheme="majorHAnsi"/>
          <w:color w:val="000000" w:themeColor="text1"/>
          <w:sz w:val="22"/>
          <w:szCs w:val="22"/>
          <w:bdr w:val="none" w:sz="0" w:space="0" w:color="auto" w:frame="1"/>
        </w:rPr>
      </w:pPr>
      <w:bookmarkStart w:id="2" w:name="_Hlk66466481"/>
      <w:r w:rsidRPr="00234AE5">
        <w:rPr>
          <w:rFonts w:asciiTheme="majorHAnsi" w:hAnsiTheme="majorHAnsi" w:cstheme="majorHAnsi"/>
          <w:iCs/>
          <w:sz w:val="22"/>
          <w:szCs w:val="22"/>
        </w:rPr>
        <w:t xml:space="preserve">«Il mese di aprile </w:t>
      </w:r>
      <w:r w:rsidRPr="00234AE5">
        <w:rPr>
          <w:rFonts w:asciiTheme="majorHAnsi" w:hAnsiTheme="majorHAnsi" w:cstheme="majorHAnsi"/>
          <w:color w:val="000000" w:themeColor="text1"/>
          <w:sz w:val="22"/>
          <w:szCs w:val="22"/>
          <w:bdr w:val="none" w:sz="0" w:space="0" w:color="auto" w:frame="1"/>
        </w:rPr>
        <w:t xml:space="preserve">– </w:t>
      </w:r>
      <w:r w:rsidRPr="00234AE5">
        <w:rPr>
          <w:rFonts w:asciiTheme="majorHAnsi" w:eastAsia="Times New Roman" w:hAnsiTheme="majorHAnsi" w:cstheme="majorHAnsi"/>
          <w:sz w:val="22"/>
          <w:szCs w:val="22"/>
        </w:rPr>
        <w:t xml:space="preserve">chiarisce </w:t>
      </w:r>
      <w:r w:rsidRPr="00234AE5">
        <w:rPr>
          <w:rFonts w:asciiTheme="majorHAnsi" w:eastAsia="Times New Roman" w:hAnsiTheme="majorHAnsi" w:cstheme="majorHAnsi"/>
          <w:b/>
          <w:bCs/>
          <w:sz w:val="22"/>
          <w:szCs w:val="22"/>
        </w:rPr>
        <w:t>Mario Maiocchi</w:t>
      </w:r>
      <w:r w:rsidRPr="00234AE5">
        <w:rPr>
          <w:rFonts w:asciiTheme="majorHAnsi" w:eastAsia="Times New Roman" w:hAnsiTheme="majorHAnsi" w:cstheme="majorHAnsi"/>
          <w:sz w:val="22"/>
          <w:szCs w:val="22"/>
        </w:rPr>
        <w:t xml:space="preserve">, direttore Centro studi retail </w:t>
      </w:r>
      <w:r w:rsidRPr="00234AE5">
        <w:rPr>
          <w:rFonts w:asciiTheme="majorHAnsi" w:eastAsia="Times New Roman" w:hAnsiTheme="majorHAnsi" w:cstheme="majorHAnsi"/>
          <w:b/>
          <w:bCs/>
          <w:sz w:val="22"/>
          <w:szCs w:val="22"/>
        </w:rPr>
        <w:t>Confimprese</w:t>
      </w:r>
      <w:r w:rsidRPr="00234AE5">
        <w:rPr>
          <w:rFonts w:asciiTheme="majorHAnsi" w:eastAsia="Times New Roman" w:hAnsiTheme="majorHAnsi" w:cstheme="majorHAnsi"/>
          <w:sz w:val="22"/>
          <w:szCs w:val="22"/>
        </w:rPr>
        <w:t xml:space="preserve"> </w:t>
      </w:r>
      <w:r w:rsidRPr="00234AE5">
        <w:rPr>
          <w:rFonts w:asciiTheme="majorHAnsi" w:hAnsiTheme="majorHAnsi" w:cstheme="majorHAnsi"/>
          <w:color w:val="000000" w:themeColor="text1"/>
          <w:sz w:val="22"/>
          <w:szCs w:val="22"/>
          <w:bdr w:val="none" w:sz="0" w:space="0" w:color="auto" w:frame="1"/>
        </w:rPr>
        <w:t xml:space="preserve">– evidenzia, dopo cinque mesi di perdurante deterioramento del trend di vendite a causa sia della variante Omicron sia della situazione geopolitica e delle sue conseguenze economiche, un parziale cambio di rotta con tutti i settori di attività in miglioramento rispetto ai mesi più recenti. Così </w:t>
      </w:r>
      <w:r>
        <w:rPr>
          <w:rFonts w:asciiTheme="majorHAnsi" w:hAnsiTheme="majorHAnsi" w:cstheme="majorHAnsi"/>
          <w:color w:val="000000" w:themeColor="text1"/>
          <w:sz w:val="22"/>
          <w:szCs w:val="22"/>
          <w:bdr w:val="none" w:sz="0" w:space="0" w:color="auto" w:frame="1"/>
        </w:rPr>
        <w:t>anche</w:t>
      </w:r>
      <w:r w:rsidRPr="00234AE5">
        <w:rPr>
          <w:rFonts w:asciiTheme="majorHAnsi" w:hAnsiTheme="majorHAnsi" w:cstheme="majorHAnsi"/>
          <w:color w:val="000000" w:themeColor="text1"/>
          <w:sz w:val="22"/>
          <w:szCs w:val="22"/>
          <w:bdr w:val="none" w:sz="0" w:space="0" w:color="auto" w:frame="1"/>
        </w:rPr>
        <w:t xml:space="preserve"> per le aree geografiche e i canali di vendita. </w:t>
      </w:r>
      <w:r w:rsidR="007B7923">
        <w:rPr>
          <w:rFonts w:asciiTheme="majorHAnsi" w:hAnsiTheme="majorHAnsi" w:cstheme="majorHAnsi"/>
          <w:color w:val="000000" w:themeColor="text1"/>
          <w:sz w:val="22"/>
          <w:szCs w:val="22"/>
          <w:bdr w:val="none" w:sz="0" w:space="0" w:color="auto" w:frame="1"/>
        </w:rPr>
        <w:t>I</w:t>
      </w:r>
      <w:r w:rsidRPr="00234AE5">
        <w:rPr>
          <w:rFonts w:asciiTheme="majorHAnsi" w:hAnsiTheme="majorHAnsi" w:cstheme="majorHAnsi"/>
          <w:color w:val="000000" w:themeColor="text1"/>
          <w:sz w:val="22"/>
          <w:szCs w:val="22"/>
          <w:bdr w:val="none" w:sz="0" w:space="0" w:color="auto" w:frame="1"/>
        </w:rPr>
        <w:t xml:space="preserve">ncoraggiante il dato della </w:t>
      </w:r>
      <w:r>
        <w:rPr>
          <w:rFonts w:asciiTheme="majorHAnsi" w:hAnsiTheme="majorHAnsi" w:cstheme="majorHAnsi"/>
          <w:color w:val="000000" w:themeColor="text1"/>
          <w:sz w:val="22"/>
          <w:szCs w:val="22"/>
          <w:bdr w:val="none" w:sz="0" w:space="0" w:color="auto" w:frame="1"/>
        </w:rPr>
        <w:t>r</w:t>
      </w:r>
      <w:r w:rsidRPr="00234AE5">
        <w:rPr>
          <w:rFonts w:asciiTheme="majorHAnsi" w:hAnsiTheme="majorHAnsi" w:cstheme="majorHAnsi"/>
          <w:color w:val="000000" w:themeColor="text1"/>
          <w:sz w:val="22"/>
          <w:szCs w:val="22"/>
          <w:bdr w:val="none" w:sz="0" w:space="0" w:color="auto" w:frame="1"/>
        </w:rPr>
        <w:t>istorazione che</w:t>
      </w:r>
      <w:r>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per la prima volta dall’inizio della pandemia</w:t>
      </w:r>
      <w:r>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ha fatto registrare un valore superiore a quello dello stesso mese del 2019. </w:t>
      </w:r>
      <w:r w:rsidR="00102EB1">
        <w:rPr>
          <w:rFonts w:asciiTheme="majorHAnsi" w:hAnsiTheme="majorHAnsi" w:cstheme="majorHAnsi"/>
          <w:color w:val="000000" w:themeColor="text1"/>
          <w:sz w:val="22"/>
          <w:szCs w:val="22"/>
          <w:bdr w:val="none" w:sz="0" w:space="0" w:color="auto" w:frame="1"/>
        </w:rPr>
        <w:t>Tuttavia, o</w:t>
      </w:r>
      <w:r w:rsidRPr="00234AE5">
        <w:rPr>
          <w:rFonts w:asciiTheme="majorHAnsi" w:hAnsiTheme="majorHAnsi" w:cstheme="majorHAnsi"/>
          <w:color w:val="000000" w:themeColor="text1"/>
          <w:sz w:val="22"/>
          <w:szCs w:val="22"/>
          <w:bdr w:val="none" w:sz="0" w:space="0" w:color="auto" w:frame="1"/>
        </w:rPr>
        <w:t xml:space="preserve">ccorre ricordare che il settore </w:t>
      </w:r>
      <w:r>
        <w:rPr>
          <w:rFonts w:asciiTheme="majorHAnsi" w:hAnsiTheme="majorHAnsi" w:cstheme="majorHAnsi"/>
          <w:color w:val="000000" w:themeColor="text1"/>
          <w:sz w:val="22"/>
          <w:szCs w:val="22"/>
          <w:bdr w:val="none" w:sz="0" w:space="0" w:color="auto" w:frame="1"/>
        </w:rPr>
        <w:t>a</w:t>
      </w:r>
      <w:r w:rsidRPr="00234AE5">
        <w:rPr>
          <w:rFonts w:asciiTheme="majorHAnsi" w:hAnsiTheme="majorHAnsi" w:cstheme="majorHAnsi"/>
          <w:color w:val="000000" w:themeColor="text1"/>
          <w:sz w:val="22"/>
          <w:szCs w:val="22"/>
          <w:bdr w:val="none" w:sz="0" w:space="0" w:color="auto" w:frame="1"/>
        </w:rPr>
        <w:t>bbigliamento registra ancora dei pesantissimi negativi e</w:t>
      </w:r>
      <w:r w:rsidR="00102EB1">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comunque</w:t>
      </w:r>
      <w:r w:rsidR="00102EB1">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tutto il</w:t>
      </w:r>
      <w:r>
        <w:rPr>
          <w:rFonts w:asciiTheme="majorHAnsi" w:hAnsiTheme="majorHAnsi" w:cstheme="majorHAnsi"/>
          <w:color w:val="000000" w:themeColor="text1"/>
          <w:sz w:val="22"/>
          <w:szCs w:val="22"/>
          <w:bdr w:val="none" w:sz="0" w:space="0" w:color="auto" w:frame="1"/>
        </w:rPr>
        <w:t xml:space="preserve"> r</w:t>
      </w:r>
      <w:r w:rsidRPr="00234AE5">
        <w:rPr>
          <w:rFonts w:asciiTheme="majorHAnsi" w:hAnsiTheme="majorHAnsi" w:cstheme="majorHAnsi"/>
          <w:color w:val="000000" w:themeColor="text1"/>
          <w:sz w:val="22"/>
          <w:szCs w:val="22"/>
          <w:bdr w:val="none" w:sz="0" w:space="0" w:color="auto" w:frame="1"/>
        </w:rPr>
        <w:t>etail è sottoposto a una pressione inflazionistica sui prezzi delle materie prime, dell’energia e dei prodotti di rivendita, per non menzionare poi il livello degli affitti che, già prima della pandemia, aveva raggiunto valori poco sostenibili. Permane</w:t>
      </w:r>
      <w:r>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quindi</w:t>
      </w:r>
      <w:r>
        <w:rPr>
          <w:rFonts w:asciiTheme="majorHAnsi" w:hAnsiTheme="majorHAnsi" w:cstheme="majorHAnsi"/>
          <w:color w:val="000000" w:themeColor="text1"/>
          <w:sz w:val="22"/>
          <w:szCs w:val="22"/>
          <w:bdr w:val="none" w:sz="0" w:space="0" w:color="auto" w:frame="1"/>
        </w:rPr>
        <w:t>,</w:t>
      </w:r>
      <w:r w:rsidRPr="00234AE5">
        <w:rPr>
          <w:rFonts w:asciiTheme="majorHAnsi" w:hAnsiTheme="majorHAnsi" w:cstheme="majorHAnsi"/>
          <w:color w:val="000000" w:themeColor="text1"/>
          <w:sz w:val="22"/>
          <w:szCs w:val="22"/>
          <w:bdr w:val="none" w:sz="0" w:space="0" w:color="auto" w:frame="1"/>
        </w:rPr>
        <w:t xml:space="preserve"> uno senario instabile e di forte criticità del settore che rimane uno dei più impattati dagli accadimenti degli ultimi due anni</w:t>
      </w:r>
      <w:r w:rsidRPr="00234AE5">
        <w:rPr>
          <w:rFonts w:asciiTheme="majorHAnsi" w:hAnsiTheme="majorHAnsi" w:cstheme="majorHAnsi"/>
          <w:sz w:val="22"/>
          <w:szCs w:val="22"/>
        </w:rPr>
        <w:t>».</w:t>
      </w:r>
    </w:p>
    <w:p w14:paraId="67601475" w14:textId="77777777" w:rsidR="00234AE5" w:rsidRPr="00D0156B" w:rsidRDefault="00234AE5" w:rsidP="00234AE5">
      <w:pPr>
        <w:jc w:val="both"/>
        <w:rPr>
          <w:rFonts w:asciiTheme="majorHAnsi" w:eastAsia="Times New Roman" w:hAnsiTheme="majorHAnsi" w:cstheme="majorHAnsi"/>
          <w:sz w:val="22"/>
          <w:szCs w:val="22"/>
        </w:rPr>
      </w:pPr>
    </w:p>
    <w:bookmarkEnd w:id="2"/>
    <w:p w14:paraId="13D45632" w14:textId="77777777" w:rsidR="00C72D9C" w:rsidRPr="00C72D9C" w:rsidRDefault="00C72D9C" w:rsidP="00C72D9C">
      <w:pPr>
        <w:jc w:val="both"/>
        <w:rPr>
          <w:rFonts w:ascii="Calibri" w:eastAsia="Times New Roman" w:hAnsi="Calibri" w:cs="Calibri"/>
          <w:sz w:val="22"/>
          <w:szCs w:val="22"/>
        </w:rPr>
      </w:pPr>
      <w:r w:rsidRPr="00C72D9C">
        <w:rPr>
          <w:rFonts w:ascii="Calibri" w:eastAsia="Times New Roman" w:hAnsi="Calibri" w:cs="Calibri"/>
          <w:sz w:val="22"/>
          <w:szCs w:val="22"/>
        </w:rPr>
        <w:t xml:space="preserve">Se è lecito iniziare a tracciare un trend in miglioramento, occorre tuttavia tenere in considerazione il peso di inflazione, caro materie prime/trasporti e </w:t>
      </w:r>
      <w:r w:rsidRPr="00C72D9C">
        <w:rPr>
          <w:rFonts w:ascii="Calibri" w:eastAsia="MS Mincho" w:hAnsi="Calibri" w:cs="Calibri"/>
          <w:sz w:val="22"/>
          <w:szCs w:val="22"/>
        </w:rPr>
        <w:t>instabilità politico-</w:t>
      </w:r>
      <w:r w:rsidRPr="00C72D9C">
        <w:rPr>
          <w:rFonts w:ascii="Calibri" w:eastAsia="MS Mincho" w:hAnsi="Calibri" w:cs="Calibri"/>
          <w:sz w:val="22"/>
          <w:szCs w:val="22"/>
        </w:rPr>
        <w:lastRenderedPageBreak/>
        <w:t xml:space="preserve">economica sullo scenario europeo, che suggeriscono di procedere con cautela nelle valutazioni sull’andamento dei consumi nei prossimi mesi. </w:t>
      </w:r>
    </w:p>
    <w:p w14:paraId="56F57A0A" w14:textId="77777777" w:rsidR="008D4DF5" w:rsidRPr="00D0156B" w:rsidRDefault="008D4DF5" w:rsidP="00153375">
      <w:pPr>
        <w:jc w:val="both"/>
        <w:rPr>
          <w:rFonts w:asciiTheme="majorHAnsi" w:eastAsia="Times New Roman" w:hAnsiTheme="majorHAnsi" w:cstheme="majorHAnsi"/>
          <w:sz w:val="22"/>
          <w:szCs w:val="22"/>
        </w:rPr>
      </w:pPr>
    </w:p>
    <w:p w14:paraId="2C90AE3F" w14:textId="7590F79E" w:rsidR="00CE777A" w:rsidRPr="00CE777A" w:rsidRDefault="00CE777A" w:rsidP="000904D7">
      <w:pPr>
        <w:jc w:val="both"/>
        <w:rPr>
          <w:rFonts w:asciiTheme="majorHAnsi" w:eastAsia="Times New Roman" w:hAnsiTheme="majorHAnsi" w:cstheme="majorHAnsi"/>
          <w:sz w:val="22"/>
          <w:szCs w:val="22"/>
        </w:rPr>
      </w:pPr>
      <w:r w:rsidRPr="00CE777A">
        <w:rPr>
          <w:rFonts w:asciiTheme="majorHAnsi" w:eastAsia="Times New Roman" w:hAnsiTheme="majorHAnsi" w:cstheme="majorHAnsi"/>
          <w:b/>
          <w:bCs/>
          <w:sz w:val="22"/>
          <w:szCs w:val="22"/>
        </w:rPr>
        <w:t xml:space="preserve">Paolo Lobetti Bodoni, EY Consulting Market Leader in Italia, commenta: </w:t>
      </w:r>
      <w:r w:rsidRPr="00CE777A">
        <w:rPr>
          <w:rFonts w:asciiTheme="majorHAnsi" w:eastAsia="Times New Roman" w:hAnsiTheme="majorHAnsi" w:cstheme="majorHAnsi"/>
          <w:sz w:val="22"/>
          <w:szCs w:val="22"/>
        </w:rPr>
        <w:t>«L’analisi dei consumi degli italiani del mese di aprile 2022, confrontato con lo stesso mese del 2019, rileva un trend in miglioramento rispetto ai mesi precedenti, con il totale mercato che chiude ancora a -9%. I dati di questo mese confermano cambiamenti significativi nello stile di vita e nelle abitudini di consumo degli italiani che si sono trasformate negli ultimi due anni. A guidare la ripresa le aree del Sud Italia, ma anche le aree di prossimità, della ristorazione e del retail non food. Anche il travel fa registrare una progressiva ripresa: un trend che conferma la volontà degli italiani di ritornare a viaggiare dopo due anni di restrizioni».</w:t>
      </w:r>
    </w:p>
    <w:p w14:paraId="58001EBF" w14:textId="77777777" w:rsidR="00147F3C" w:rsidRPr="005478D6" w:rsidRDefault="00147F3C" w:rsidP="00555A92">
      <w:pPr>
        <w:rPr>
          <w:rFonts w:asciiTheme="majorHAnsi" w:hAnsiTheme="majorHAnsi" w:cstheme="majorHAnsi"/>
          <w:b/>
          <w:bCs/>
        </w:rPr>
      </w:pPr>
    </w:p>
    <w:p w14:paraId="40CDD50C" w14:textId="77777777" w:rsidR="00CC2B99" w:rsidRPr="00CC2B99" w:rsidRDefault="00CC2B99" w:rsidP="00CC2B99">
      <w:pPr>
        <w:jc w:val="center"/>
        <w:rPr>
          <w:rFonts w:asciiTheme="majorHAnsi" w:hAnsiTheme="majorHAnsi" w:cstheme="majorHAnsi"/>
          <w:b/>
          <w:bCs/>
        </w:rPr>
      </w:pPr>
      <w:r w:rsidRPr="00CC2B99">
        <w:rPr>
          <w:rFonts w:asciiTheme="majorHAnsi" w:hAnsiTheme="majorHAnsi" w:cstheme="majorHAnsi"/>
          <w:b/>
          <w:bCs/>
        </w:rPr>
        <w:t>Analisi per regioni</w:t>
      </w:r>
    </w:p>
    <w:p w14:paraId="33730A0C" w14:textId="77777777" w:rsidR="00CC2B99" w:rsidRPr="00CC2B99" w:rsidRDefault="00CC2B99" w:rsidP="00CC2B99">
      <w:pPr>
        <w:jc w:val="center"/>
        <w:rPr>
          <w:rFonts w:asciiTheme="majorHAnsi" w:hAnsiTheme="majorHAnsi" w:cstheme="majorHAnsi"/>
          <w:b/>
          <w:bCs/>
        </w:rPr>
      </w:pPr>
    </w:p>
    <w:p w14:paraId="1B35BCC2" w14:textId="5FA1A2EE" w:rsidR="00A5669B" w:rsidRDefault="00A5669B" w:rsidP="00A5669B">
      <w:pPr>
        <w:jc w:val="both"/>
        <w:rPr>
          <w:rFonts w:asciiTheme="majorHAnsi" w:hAnsiTheme="majorHAnsi" w:cstheme="majorHAnsi"/>
          <w:sz w:val="22"/>
          <w:szCs w:val="22"/>
        </w:rPr>
      </w:pPr>
      <w:r w:rsidRPr="00CC2B99">
        <w:rPr>
          <w:rFonts w:asciiTheme="majorHAnsi" w:hAnsiTheme="majorHAnsi" w:cstheme="majorHAnsi"/>
          <w:sz w:val="22"/>
          <w:szCs w:val="22"/>
        </w:rPr>
        <w:t xml:space="preserve">L’analisi delle regioni nel mese di </w:t>
      </w:r>
      <w:r>
        <w:rPr>
          <w:rFonts w:asciiTheme="majorHAnsi" w:hAnsiTheme="majorHAnsi" w:cstheme="majorHAnsi"/>
          <w:sz w:val="22"/>
          <w:szCs w:val="22"/>
        </w:rPr>
        <w:t>aprile</w:t>
      </w:r>
      <w:r w:rsidRPr="00CC2B99">
        <w:rPr>
          <w:rFonts w:asciiTheme="majorHAnsi" w:hAnsiTheme="majorHAnsi" w:cstheme="majorHAnsi"/>
          <w:sz w:val="22"/>
          <w:szCs w:val="22"/>
        </w:rPr>
        <w:t xml:space="preserve"> 2022 vs </w:t>
      </w:r>
      <w:r>
        <w:rPr>
          <w:rFonts w:asciiTheme="majorHAnsi" w:hAnsiTheme="majorHAnsi" w:cstheme="majorHAnsi"/>
          <w:sz w:val="22"/>
          <w:szCs w:val="22"/>
        </w:rPr>
        <w:t>aprile</w:t>
      </w:r>
      <w:r w:rsidRPr="00CC2B99">
        <w:rPr>
          <w:rFonts w:asciiTheme="majorHAnsi" w:hAnsiTheme="majorHAnsi" w:cstheme="majorHAnsi"/>
          <w:sz w:val="22"/>
          <w:szCs w:val="22"/>
        </w:rPr>
        <w:t xml:space="preserve"> 2019 presenta valori </w:t>
      </w:r>
      <w:r>
        <w:rPr>
          <w:rFonts w:asciiTheme="majorHAnsi" w:hAnsiTheme="majorHAnsi" w:cstheme="majorHAnsi"/>
          <w:sz w:val="22"/>
          <w:szCs w:val="22"/>
        </w:rPr>
        <w:t xml:space="preserve">positivi solo per la </w:t>
      </w:r>
      <w:r w:rsidRPr="00483B03">
        <w:rPr>
          <w:rFonts w:asciiTheme="majorHAnsi" w:hAnsiTheme="majorHAnsi" w:cstheme="majorHAnsi"/>
          <w:b/>
          <w:bCs/>
          <w:sz w:val="22"/>
          <w:szCs w:val="22"/>
        </w:rPr>
        <w:t>Campania</w:t>
      </w:r>
      <w:r>
        <w:rPr>
          <w:rFonts w:asciiTheme="majorHAnsi" w:hAnsiTheme="majorHAnsi" w:cstheme="majorHAnsi"/>
          <w:sz w:val="22"/>
          <w:szCs w:val="22"/>
        </w:rPr>
        <w:t xml:space="preserve"> che registra un +6%. Segue la </w:t>
      </w:r>
      <w:r w:rsidRPr="00A5669B">
        <w:rPr>
          <w:rFonts w:asciiTheme="majorHAnsi" w:hAnsiTheme="majorHAnsi" w:cstheme="majorHAnsi"/>
          <w:b/>
          <w:bCs/>
          <w:sz w:val="22"/>
          <w:szCs w:val="22"/>
        </w:rPr>
        <w:t>Puglia</w:t>
      </w:r>
      <w:r>
        <w:rPr>
          <w:rFonts w:asciiTheme="majorHAnsi" w:hAnsiTheme="majorHAnsi" w:cstheme="majorHAnsi"/>
          <w:sz w:val="22"/>
          <w:szCs w:val="22"/>
        </w:rPr>
        <w:t xml:space="preserve"> a 0%. Tutte le altre regioni fanno registrare trend negativi, </w:t>
      </w:r>
      <w:r w:rsidRPr="00CC2B99">
        <w:rPr>
          <w:rFonts w:asciiTheme="majorHAnsi" w:hAnsiTheme="majorHAnsi" w:cstheme="majorHAnsi"/>
          <w:sz w:val="22"/>
          <w:szCs w:val="22"/>
        </w:rPr>
        <w:t xml:space="preserve">in particolare, i trend più negativi si rilevano per </w:t>
      </w:r>
      <w:r w:rsidRPr="00A5669B">
        <w:rPr>
          <w:rFonts w:asciiTheme="majorHAnsi" w:hAnsiTheme="majorHAnsi" w:cstheme="majorHAnsi"/>
          <w:b/>
          <w:bCs/>
          <w:sz w:val="22"/>
          <w:szCs w:val="22"/>
        </w:rPr>
        <w:t>Umbria</w:t>
      </w:r>
      <w:r>
        <w:rPr>
          <w:rFonts w:asciiTheme="majorHAnsi" w:hAnsiTheme="majorHAnsi" w:cstheme="majorHAnsi"/>
          <w:sz w:val="22"/>
          <w:szCs w:val="22"/>
        </w:rPr>
        <w:t xml:space="preserve"> -25%, </w:t>
      </w:r>
      <w:r w:rsidRPr="00A5669B">
        <w:rPr>
          <w:rFonts w:asciiTheme="majorHAnsi" w:hAnsiTheme="majorHAnsi" w:cstheme="majorHAnsi"/>
          <w:b/>
          <w:bCs/>
          <w:sz w:val="22"/>
          <w:szCs w:val="22"/>
        </w:rPr>
        <w:t>Veneto</w:t>
      </w:r>
      <w:r>
        <w:rPr>
          <w:rFonts w:asciiTheme="majorHAnsi" w:hAnsiTheme="majorHAnsi" w:cstheme="majorHAnsi"/>
          <w:sz w:val="22"/>
          <w:szCs w:val="22"/>
        </w:rPr>
        <w:t xml:space="preserve"> -21%, </w:t>
      </w:r>
      <w:r w:rsidRPr="00A5669B">
        <w:rPr>
          <w:rFonts w:asciiTheme="majorHAnsi" w:hAnsiTheme="majorHAnsi" w:cstheme="majorHAnsi"/>
          <w:b/>
          <w:bCs/>
          <w:sz w:val="22"/>
          <w:szCs w:val="22"/>
        </w:rPr>
        <w:t>Trentino-Alto Adige/Südtirol</w:t>
      </w:r>
      <w:r>
        <w:rPr>
          <w:rFonts w:asciiTheme="majorHAnsi" w:hAnsiTheme="majorHAnsi" w:cstheme="majorHAnsi"/>
          <w:sz w:val="22"/>
          <w:szCs w:val="22"/>
        </w:rPr>
        <w:t xml:space="preserve"> -19%, </w:t>
      </w:r>
      <w:r w:rsidRPr="00A5669B">
        <w:rPr>
          <w:rFonts w:asciiTheme="majorHAnsi" w:hAnsiTheme="majorHAnsi" w:cstheme="majorHAnsi"/>
          <w:b/>
          <w:bCs/>
          <w:sz w:val="22"/>
          <w:szCs w:val="22"/>
        </w:rPr>
        <w:t>Emilia-Romagna</w:t>
      </w:r>
      <w:r>
        <w:rPr>
          <w:rFonts w:asciiTheme="majorHAnsi" w:hAnsiTheme="majorHAnsi" w:cstheme="majorHAnsi"/>
          <w:sz w:val="22"/>
          <w:szCs w:val="22"/>
        </w:rPr>
        <w:t xml:space="preserve"> -18%, </w:t>
      </w:r>
      <w:r w:rsidRPr="00A5669B">
        <w:rPr>
          <w:rFonts w:asciiTheme="majorHAnsi" w:hAnsiTheme="majorHAnsi" w:cstheme="majorHAnsi"/>
          <w:b/>
          <w:bCs/>
          <w:sz w:val="22"/>
          <w:szCs w:val="22"/>
        </w:rPr>
        <w:t>Friuli-Venezia Giulia</w:t>
      </w:r>
      <w:r>
        <w:rPr>
          <w:rFonts w:asciiTheme="majorHAnsi" w:hAnsiTheme="majorHAnsi" w:cstheme="majorHAnsi"/>
          <w:sz w:val="22"/>
          <w:szCs w:val="22"/>
        </w:rPr>
        <w:t xml:space="preserve"> -17%, </w:t>
      </w:r>
      <w:r w:rsidRPr="00A5669B">
        <w:rPr>
          <w:rFonts w:asciiTheme="majorHAnsi" w:hAnsiTheme="majorHAnsi" w:cstheme="majorHAnsi"/>
          <w:b/>
          <w:bCs/>
          <w:sz w:val="22"/>
          <w:szCs w:val="22"/>
        </w:rPr>
        <w:t>Marche</w:t>
      </w:r>
      <w:r>
        <w:rPr>
          <w:rFonts w:asciiTheme="majorHAnsi" w:hAnsiTheme="majorHAnsi" w:cstheme="majorHAnsi"/>
          <w:sz w:val="22"/>
          <w:szCs w:val="22"/>
        </w:rPr>
        <w:t xml:space="preserve"> -16%, </w:t>
      </w:r>
      <w:r w:rsidRPr="00A5669B">
        <w:rPr>
          <w:rFonts w:asciiTheme="majorHAnsi" w:hAnsiTheme="majorHAnsi" w:cstheme="majorHAnsi"/>
          <w:b/>
          <w:bCs/>
          <w:sz w:val="22"/>
          <w:szCs w:val="22"/>
        </w:rPr>
        <w:t xml:space="preserve">Piemonte </w:t>
      </w:r>
      <w:r>
        <w:rPr>
          <w:rFonts w:asciiTheme="majorHAnsi" w:hAnsiTheme="majorHAnsi" w:cstheme="majorHAnsi"/>
          <w:sz w:val="22"/>
          <w:szCs w:val="22"/>
        </w:rPr>
        <w:t xml:space="preserve">-15% e </w:t>
      </w:r>
      <w:r w:rsidRPr="00A5669B">
        <w:rPr>
          <w:rFonts w:asciiTheme="majorHAnsi" w:hAnsiTheme="majorHAnsi" w:cstheme="majorHAnsi"/>
          <w:b/>
          <w:bCs/>
          <w:sz w:val="22"/>
          <w:szCs w:val="22"/>
        </w:rPr>
        <w:t>Toscana</w:t>
      </w:r>
      <w:r>
        <w:rPr>
          <w:rFonts w:asciiTheme="majorHAnsi" w:hAnsiTheme="majorHAnsi" w:cstheme="majorHAnsi"/>
          <w:sz w:val="22"/>
          <w:szCs w:val="22"/>
        </w:rPr>
        <w:t xml:space="preserve"> -14%. Tra le altre regioni segnali di miglioramento per </w:t>
      </w:r>
      <w:r w:rsidRPr="00A5669B">
        <w:rPr>
          <w:rFonts w:asciiTheme="majorHAnsi" w:hAnsiTheme="majorHAnsi" w:cstheme="majorHAnsi"/>
          <w:b/>
          <w:bCs/>
          <w:sz w:val="22"/>
          <w:szCs w:val="22"/>
        </w:rPr>
        <w:t>Abbruzzo</w:t>
      </w:r>
      <w:r>
        <w:rPr>
          <w:rFonts w:asciiTheme="majorHAnsi" w:hAnsiTheme="majorHAnsi" w:cstheme="majorHAnsi"/>
          <w:sz w:val="22"/>
          <w:szCs w:val="22"/>
        </w:rPr>
        <w:t xml:space="preserve">, </w:t>
      </w:r>
      <w:r w:rsidRPr="00A5669B">
        <w:rPr>
          <w:rFonts w:asciiTheme="majorHAnsi" w:hAnsiTheme="majorHAnsi" w:cstheme="majorHAnsi"/>
          <w:b/>
          <w:bCs/>
          <w:sz w:val="22"/>
          <w:szCs w:val="22"/>
        </w:rPr>
        <w:t>Sicilia</w:t>
      </w:r>
      <w:r>
        <w:rPr>
          <w:rFonts w:asciiTheme="majorHAnsi" w:hAnsiTheme="majorHAnsi" w:cstheme="majorHAnsi"/>
          <w:sz w:val="22"/>
          <w:szCs w:val="22"/>
        </w:rPr>
        <w:t xml:space="preserve">, </w:t>
      </w:r>
      <w:r w:rsidRPr="00A5669B">
        <w:rPr>
          <w:rFonts w:asciiTheme="majorHAnsi" w:hAnsiTheme="majorHAnsi" w:cstheme="majorHAnsi"/>
          <w:b/>
          <w:bCs/>
          <w:sz w:val="22"/>
          <w:szCs w:val="22"/>
        </w:rPr>
        <w:t>Lazio</w:t>
      </w:r>
      <w:r>
        <w:rPr>
          <w:rFonts w:asciiTheme="majorHAnsi" w:hAnsiTheme="majorHAnsi" w:cstheme="majorHAnsi"/>
          <w:sz w:val="22"/>
          <w:szCs w:val="22"/>
        </w:rPr>
        <w:t xml:space="preserve"> e </w:t>
      </w:r>
      <w:r w:rsidRPr="00A5669B">
        <w:rPr>
          <w:rFonts w:asciiTheme="majorHAnsi" w:hAnsiTheme="majorHAnsi" w:cstheme="majorHAnsi"/>
          <w:b/>
          <w:bCs/>
          <w:sz w:val="22"/>
          <w:szCs w:val="22"/>
        </w:rPr>
        <w:t xml:space="preserve">Calabria </w:t>
      </w:r>
      <w:r>
        <w:rPr>
          <w:rFonts w:asciiTheme="majorHAnsi" w:hAnsiTheme="majorHAnsi" w:cstheme="majorHAnsi"/>
          <w:sz w:val="22"/>
          <w:szCs w:val="22"/>
        </w:rPr>
        <w:t xml:space="preserve">che registrano tutte -1%, seguite da </w:t>
      </w:r>
      <w:r w:rsidRPr="00A5669B">
        <w:rPr>
          <w:rFonts w:asciiTheme="majorHAnsi" w:hAnsiTheme="majorHAnsi" w:cstheme="majorHAnsi"/>
          <w:b/>
          <w:bCs/>
          <w:sz w:val="22"/>
          <w:szCs w:val="22"/>
        </w:rPr>
        <w:t>Liguria</w:t>
      </w:r>
      <w:r>
        <w:rPr>
          <w:rFonts w:asciiTheme="majorHAnsi" w:hAnsiTheme="majorHAnsi" w:cstheme="majorHAnsi"/>
          <w:sz w:val="22"/>
          <w:szCs w:val="22"/>
        </w:rPr>
        <w:t xml:space="preserve"> -2%, </w:t>
      </w:r>
      <w:r w:rsidRPr="00A5669B">
        <w:rPr>
          <w:rFonts w:asciiTheme="majorHAnsi" w:hAnsiTheme="majorHAnsi" w:cstheme="majorHAnsi"/>
          <w:b/>
          <w:bCs/>
          <w:sz w:val="22"/>
          <w:szCs w:val="22"/>
        </w:rPr>
        <w:t>Sardegna</w:t>
      </w:r>
      <w:r>
        <w:rPr>
          <w:rFonts w:asciiTheme="majorHAnsi" w:hAnsiTheme="majorHAnsi" w:cstheme="majorHAnsi"/>
          <w:sz w:val="22"/>
          <w:szCs w:val="22"/>
        </w:rPr>
        <w:t xml:space="preserve"> -4% e </w:t>
      </w:r>
      <w:r w:rsidRPr="00A5669B">
        <w:rPr>
          <w:rFonts w:asciiTheme="majorHAnsi" w:hAnsiTheme="majorHAnsi" w:cstheme="majorHAnsi"/>
          <w:b/>
          <w:bCs/>
          <w:sz w:val="22"/>
          <w:szCs w:val="22"/>
        </w:rPr>
        <w:t>Lombardia</w:t>
      </w:r>
      <w:r>
        <w:rPr>
          <w:rFonts w:asciiTheme="majorHAnsi" w:hAnsiTheme="majorHAnsi" w:cstheme="majorHAnsi"/>
          <w:sz w:val="22"/>
          <w:szCs w:val="22"/>
        </w:rPr>
        <w:t xml:space="preserve"> -6%.</w:t>
      </w:r>
    </w:p>
    <w:p w14:paraId="18D816BA" w14:textId="77777777" w:rsidR="00A5669B" w:rsidRDefault="00A5669B" w:rsidP="00A5669B">
      <w:pPr>
        <w:jc w:val="both"/>
        <w:rPr>
          <w:rFonts w:asciiTheme="majorHAnsi" w:hAnsiTheme="majorHAnsi" w:cstheme="majorHAnsi"/>
          <w:sz w:val="22"/>
          <w:szCs w:val="22"/>
        </w:rPr>
      </w:pPr>
    </w:p>
    <w:p w14:paraId="09E05277" w14:textId="5BF4E263" w:rsidR="005205BA" w:rsidRDefault="00A5669B" w:rsidP="00123A1E">
      <w:pPr>
        <w:jc w:val="center"/>
        <w:rPr>
          <w:rFonts w:asciiTheme="majorHAnsi" w:hAnsiTheme="majorHAnsi" w:cstheme="majorHAnsi"/>
          <w:sz w:val="22"/>
          <w:szCs w:val="22"/>
        </w:rPr>
      </w:pPr>
      <w:r>
        <w:rPr>
          <w:rFonts w:asciiTheme="majorHAnsi" w:hAnsiTheme="majorHAnsi" w:cstheme="majorHAnsi"/>
          <w:noProof/>
          <w:sz w:val="22"/>
          <w:szCs w:val="22"/>
        </w:rPr>
        <w:drawing>
          <wp:inline distT="0" distB="0" distL="0" distR="0" wp14:anchorId="40DCCB77" wp14:editId="4E347E76">
            <wp:extent cx="2614001" cy="3941875"/>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9856" cy="3965784"/>
                    </a:xfrm>
                    <a:prstGeom prst="rect">
                      <a:avLst/>
                    </a:prstGeom>
                    <a:noFill/>
                  </pic:spPr>
                </pic:pic>
              </a:graphicData>
            </a:graphic>
          </wp:inline>
        </w:drawing>
      </w:r>
    </w:p>
    <w:p w14:paraId="0828464B" w14:textId="335E65FE" w:rsidR="005205BA" w:rsidRPr="00CC2B99" w:rsidRDefault="005205BA" w:rsidP="00F661AD">
      <w:pPr>
        <w:jc w:val="center"/>
        <w:rPr>
          <w:rFonts w:asciiTheme="majorHAnsi" w:hAnsiTheme="majorHAnsi" w:cstheme="majorHAnsi"/>
          <w:sz w:val="22"/>
          <w:szCs w:val="22"/>
        </w:rPr>
      </w:pPr>
    </w:p>
    <w:p w14:paraId="63F692C3" w14:textId="773233A9" w:rsidR="00CC2B99" w:rsidRPr="00CC2B99" w:rsidRDefault="00CC2B99" w:rsidP="00CC2B99">
      <w:pPr>
        <w:jc w:val="both"/>
        <w:rPr>
          <w:rFonts w:asciiTheme="majorHAnsi" w:hAnsiTheme="majorHAnsi" w:cstheme="majorHAnsi"/>
          <w:sz w:val="22"/>
          <w:szCs w:val="22"/>
        </w:rPr>
      </w:pPr>
    </w:p>
    <w:p w14:paraId="05691F4E" w14:textId="77777777" w:rsidR="00CC2B99" w:rsidRPr="00CC2B99" w:rsidRDefault="00CC2B99" w:rsidP="00CC2B99">
      <w:pPr>
        <w:jc w:val="center"/>
        <w:rPr>
          <w:rFonts w:asciiTheme="majorHAnsi" w:hAnsiTheme="majorHAnsi" w:cstheme="majorHAnsi"/>
          <w:b/>
          <w:bCs/>
          <w:color w:val="000000" w:themeColor="text1"/>
        </w:rPr>
      </w:pPr>
    </w:p>
    <w:p w14:paraId="636AF24D" w14:textId="77777777" w:rsidR="00A5669B" w:rsidRDefault="00A5669B" w:rsidP="00CC2B99">
      <w:pPr>
        <w:jc w:val="center"/>
        <w:rPr>
          <w:rFonts w:asciiTheme="majorHAnsi" w:hAnsiTheme="majorHAnsi" w:cstheme="majorHAnsi"/>
          <w:b/>
          <w:bCs/>
          <w:color w:val="000000" w:themeColor="text1"/>
        </w:rPr>
      </w:pPr>
    </w:p>
    <w:p w14:paraId="28D6B720" w14:textId="77777777" w:rsidR="00A5669B" w:rsidRDefault="00A5669B" w:rsidP="00CC2B99">
      <w:pPr>
        <w:jc w:val="center"/>
        <w:rPr>
          <w:rFonts w:asciiTheme="majorHAnsi" w:hAnsiTheme="majorHAnsi" w:cstheme="majorHAnsi"/>
          <w:b/>
          <w:bCs/>
          <w:color w:val="000000" w:themeColor="text1"/>
        </w:rPr>
      </w:pPr>
    </w:p>
    <w:p w14:paraId="2B38239D" w14:textId="77777777" w:rsidR="00A5669B" w:rsidRDefault="00A5669B" w:rsidP="00CC2B99">
      <w:pPr>
        <w:jc w:val="center"/>
        <w:rPr>
          <w:rFonts w:asciiTheme="majorHAnsi" w:hAnsiTheme="majorHAnsi" w:cstheme="majorHAnsi"/>
          <w:b/>
          <w:bCs/>
          <w:color w:val="000000" w:themeColor="text1"/>
        </w:rPr>
      </w:pPr>
    </w:p>
    <w:p w14:paraId="2A895185" w14:textId="77777777" w:rsidR="00123A1E" w:rsidRDefault="00123A1E" w:rsidP="00CC2B99">
      <w:pPr>
        <w:jc w:val="center"/>
        <w:rPr>
          <w:rFonts w:asciiTheme="majorHAnsi" w:hAnsiTheme="majorHAnsi" w:cstheme="majorHAnsi"/>
          <w:b/>
          <w:bCs/>
          <w:color w:val="000000" w:themeColor="text1"/>
        </w:rPr>
      </w:pPr>
    </w:p>
    <w:p w14:paraId="4E7BB218" w14:textId="33E31AD6" w:rsidR="00CC2B99" w:rsidRDefault="00CC2B99" w:rsidP="00CC2B99">
      <w:pPr>
        <w:jc w:val="center"/>
        <w:rPr>
          <w:rFonts w:asciiTheme="majorHAnsi" w:hAnsiTheme="majorHAnsi" w:cstheme="majorHAnsi"/>
          <w:b/>
          <w:bCs/>
          <w:color w:val="000000" w:themeColor="text1"/>
        </w:rPr>
      </w:pPr>
      <w:r w:rsidRPr="00CC2B99">
        <w:rPr>
          <w:rFonts w:asciiTheme="majorHAnsi" w:hAnsiTheme="majorHAnsi" w:cstheme="majorHAnsi"/>
          <w:b/>
          <w:bCs/>
          <w:color w:val="000000" w:themeColor="text1"/>
        </w:rPr>
        <w:t>Analisi per città</w:t>
      </w:r>
    </w:p>
    <w:p w14:paraId="1619001D" w14:textId="58260903" w:rsidR="00A5669B" w:rsidRDefault="00A5669B" w:rsidP="00CC2B99">
      <w:pPr>
        <w:jc w:val="center"/>
        <w:rPr>
          <w:rFonts w:asciiTheme="majorHAnsi" w:hAnsiTheme="majorHAnsi" w:cstheme="majorHAnsi"/>
          <w:b/>
          <w:bCs/>
          <w:color w:val="000000" w:themeColor="text1"/>
        </w:rPr>
      </w:pPr>
    </w:p>
    <w:p w14:paraId="4634A5EF" w14:textId="16E317A7" w:rsidR="00A5669B" w:rsidRPr="00A5669B" w:rsidRDefault="00A5669B" w:rsidP="00A5669B">
      <w:pPr>
        <w:jc w:val="both"/>
        <w:rPr>
          <w:rFonts w:asciiTheme="majorHAnsi" w:hAnsiTheme="majorHAnsi" w:cstheme="majorHAnsi"/>
          <w:sz w:val="22"/>
          <w:szCs w:val="22"/>
        </w:rPr>
      </w:pPr>
      <w:r w:rsidRPr="00A5669B">
        <w:rPr>
          <w:rFonts w:asciiTheme="majorHAnsi" w:hAnsiTheme="majorHAnsi" w:cstheme="majorHAnsi"/>
          <w:sz w:val="22"/>
          <w:szCs w:val="22"/>
        </w:rPr>
        <w:t xml:space="preserve">Analizzando </w:t>
      </w:r>
      <w:r>
        <w:rPr>
          <w:rFonts w:asciiTheme="majorHAnsi" w:hAnsiTheme="majorHAnsi" w:cstheme="majorHAnsi"/>
          <w:sz w:val="22"/>
          <w:szCs w:val="22"/>
        </w:rPr>
        <w:t xml:space="preserve">i dati delle principali città italiane, nel confronto tra </w:t>
      </w:r>
      <w:r w:rsidR="00702E30">
        <w:rPr>
          <w:rFonts w:asciiTheme="majorHAnsi" w:hAnsiTheme="majorHAnsi" w:cstheme="majorHAnsi"/>
          <w:sz w:val="22"/>
          <w:szCs w:val="22"/>
        </w:rPr>
        <w:t xml:space="preserve">il mese di </w:t>
      </w:r>
      <w:r>
        <w:rPr>
          <w:rFonts w:asciiTheme="majorHAnsi" w:hAnsiTheme="majorHAnsi" w:cstheme="majorHAnsi"/>
          <w:sz w:val="22"/>
          <w:szCs w:val="22"/>
        </w:rPr>
        <w:t>aprile 2022 vs aprile 2019</w:t>
      </w:r>
      <w:r w:rsidR="00702E30">
        <w:rPr>
          <w:rFonts w:asciiTheme="majorHAnsi" w:hAnsiTheme="majorHAnsi" w:cstheme="majorHAnsi"/>
          <w:sz w:val="22"/>
          <w:szCs w:val="22"/>
        </w:rPr>
        <w:t xml:space="preserve">, è ancora </w:t>
      </w:r>
      <w:r w:rsidR="00702E30" w:rsidRPr="00702E30">
        <w:rPr>
          <w:rFonts w:asciiTheme="majorHAnsi" w:hAnsiTheme="majorHAnsi" w:cstheme="majorHAnsi"/>
          <w:b/>
          <w:bCs/>
          <w:sz w:val="22"/>
          <w:szCs w:val="22"/>
        </w:rPr>
        <w:t>Napoli</w:t>
      </w:r>
      <w:r w:rsidR="00702E30">
        <w:rPr>
          <w:rFonts w:asciiTheme="majorHAnsi" w:hAnsiTheme="majorHAnsi" w:cstheme="majorHAnsi"/>
          <w:sz w:val="22"/>
          <w:szCs w:val="22"/>
        </w:rPr>
        <w:t xml:space="preserve"> che fa registrare il trend migliore a +47,4% seguita</w:t>
      </w:r>
      <w:r w:rsidR="007E6249">
        <w:rPr>
          <w:rFonts w:asciiTheme="majorHAnsi" w:hAnsiTheme="majorHAnsi" w:cstheme="majorHAnsi"/>
          <w:sz w:val="22"/>
          <w:szCs w:val="22"/>
        </w:rPr>
        <w:t xml:space="preserve"> grazie a ristorazione e altro non food</w:t>
      </w:r>
      <w:r w:rsidR="00702E30">
        <w:rPr>
          <w:rFonts w:asciiTheme="majorHAnsi" w:hAnsiTheme="majorHAnsi" w:cstheme="majorHAnsi"/>
          <w:sz w:val="22"/>
          <w:szCs w:val="22"/>
        </w:rPr>
        <w:t xml:space="preserve">, sempre con trend positivi, da </w:t>
      </w:r>
      <w:r w:rsidR="00702E30" w:rsidRPr="00702E30">
        <w:rPr>
          <w:rFonts w:asciiTheme="majorHAnsi" w:hAnsiTheme="majorHAnsi" w:cstheme="majorHAnsi"/>
          <w:b/>
          <w:bCs/>
          <w:sz w:val="22"/>
          <w:szCs w:val="22"/>
        </w:rPr>
        <w:t>Milano</w:t>
      </w:r>
      <w:r w:rsidR="00702E30">
        <w:rPr>
          <w:rFonts w:asciiTheme="majorHAnsi" w:hAnsiTheme="majorHAnsi" w:cstheme="majorHAnsi"/>
          <w:sz w:val="22"/>
          <w:szCs w:val="22"/>
        </w:rPr>
        <w:t xml:space="preserve"> +8,4% e </w:t>
      </w:r>
      <w:r w:rsidR="00702E30" w:rsidRPr="00702E30">
        <w:rPr>
          <w:rFonts w:asciiTheme="majorHAnsi" w:hAnsiTheme="majorHAnsi" w:cstheme="majorHAnsi"/>
          <w:b/>
          <w:bCs/>
          <w:sz w:val="22"/>
          <w:szCs w:val="22"/>
        </w:rPr>
        <w:t>Genova</w:t>
      </w:r>
      <w:r w:rsidR="00702E30">
        <w:rPr>
          <w:rFonts w:asciiTheme="majorHAnsi" w:hAnsiTheme="majorHAnsi" w:cstheme="majorHAnsi"/>
          <w:sz w:val="22"/>
          <w:szCs w:val="22"/>
        </w:rPr>
        <w:t xml:space="preserve"> +5,6%. Poco distanti, ma con segno negativo, troviamo </w:t>
      </w:r>
      <w:r w:rsidR="00702E30" w:rsidRPr="00702E30">
        <w:rPr>
          <w:rFonts w:asciiTheme="majorHAnsi" w:hAnsiTheme="majorHAnsi" w:cstheme="majorHAnsi"/>
          <w:b/>
          <w:bCs/>
          <w:sz w:val="22"/>
          <w:szCs w:val="22"/>
        </w:rPr>
        <w:t>Roma</w:t>
      </w:r>
      <w:r w:rsidR="00702E30">
        <w:rPr>
          <w:rFonts w:asciiTheme="majorHAnsi" w:hAnsiTheme="majorHAnsi" w:cstheme="majorHAnsi"/>
          <w:sz w:val="22"/>
          <w:szCs w:val="22"/>
        </w:rPr>
        <w:t xml:space="preserve"> -2,9% e </w:t>
      </w:r>
      <w:r w:rsidR="00702E30" w:rsidRPr="00702E30">
        <w:rPr>
          <w:rFonts w:asciiTheme="majorHAnsi" w:hAnsiTheme="majorHAnsi" w:cstheme="majorHAnsi"/>
          <w:b/>
          <w:bCs/>
          <w:sz w:val="22"/>
          <w:szCs w:val="22"/>
        </w:rPr>
        <w:t>Palermo</w:t>
      </w:r>
      <w:r w:rsidR="00702E30">
        <w:rPr>
          <w:rFonts w:asciiTheme="majorHAnsi" w:hAnsiTheme="majorHAnsi" w:cstheme="majorHAnsi"/>
          <w:sz w:val="22"/>
          <w:szCs w:val="22"/>
        </w:rPr>
        <w:t xml:space="preserve"> -4%. Tra le città peggiori </w:t>
      </w:r>
      <w:r w:rsidR="00702E30" w:rsidRPr="00702E30">
        <w:rPr>
          <w:rFonts w:asciiTheme="majorHAnsi" w:hAnsiTheme="majorHAnsi" w:cstheme="majorHAnsi"/>
          <w:b/>
          <w:bCs/>
          <w:sz w:val="22"/>
          <w:szCs w:val="22"/>
        </w:rPr>
        <w:t>Venezia</w:t>
      </w:r>
      <w:r w:rsidR="00702E30">
        <w:rPr>
          <w:rFonts w:asciiTheme="majorHAnsi" w:hAnsiTheme="majorHAnsi" w:cstheme="majorHAnsi"/>
          <w:sz w:val="22"/>
          <w:szCs w:val="22"/>
        </w:rPr>
        <w:t xml:space="preserve"> -23,6%, </w:t>
      </w:r>
      <w:r w:rsidR="00702E30" w:rsidRPr="00702E30">
        <w:rPr>
          <w:rFonts w:asciiTheme="majorHAnsi" w:hAnsiTheme="majorHAnsi" w:cstheme="majorHAnsi"/>
          <w:b/>
          <w:bCs/>
          <w:sz w:val="22"/>
          <w:szCs w:val="22"/>
        </w:rPr>
        <w:t>Bologna</w:t>
      </w:r>
      <w:r w:rsidR="00702E30">
        <w:rPr>
          <w:rFonts w:asciiTheme="majorHAnsi" w:hAnsiTheme="majorHAnsi" w:cstheme="majorHAnsi"/>
          <w:sz w:val="22"/>
          <w:szCs w:val="22"/>
        </w:rPr>
        <w:t xml:space="preserve"> -22,1%, </w:t>
      </w:r>
      <w:r w:rsidR="00702E30" w:rsidRPr="00702E30">
        <w:rPr>
          <w:rFonts w:asciiTheme="majorHAnsi" w:hAnsiTheme="majorHAnsi" w:cstheme="majorHAnsi"/>
          <w:b/>
          <w:bCs/>
          <w:sz w:val="22"/>
          <w:szCs w:val="22"/>
        </w:rPr>
        <w:t>Torino</w:t>
      </w:r>
      <w:r w:rsidR="00702E30">
        <w:rPr>
          <w:rFonts w:asciiTheme="majorHAnsi" w:hAnsiTheme="majorHAnsi" w:cstheme="majorHAnsi"/>
          <w:sz w:val="22"/>
          <w:szCs w:val="22"/>
        </w:rPr>
        <w:t xml:space="preserve"> -19%, </w:t>
      </w:r>
      <w:r w:rsidR="00702E30" w:rsidRPr="00702E30">
        <w:rPr>
          <w:rFonts w:asciiTheme="majorHAnsi" w:hAnsiTheme="majorHAnsi" w:cstheme="majorHAnsi"/>
          <w:b/>
          <w:bCs/>
          <w:sz w:val="22"/>
          <w:szCs w:val="22"/>
        </w:rPr>
        <w:t>Firenze</w:t>
      </w:r>
      <w:r w:rsidR="00702E30">
        <w:rPr>
          <w:rFonts w:asciiTheme="majorHAnsi" w:hAnsiTheme="majorHAnsi" w:cstheme="majorHAnsi"/>
          <w:sz w:val="22"/>
          <w:szCs w:val="22"/>
        </w:rPr>
        <w:t xml:space="preserve"> -18,8% e </w:t>
      </w:r>
      <w:r w:rsidR="00702E30" w:rsidRPr="00702E30">
        <w:rPr>
          <w:rFonts w:asciiTheme="majorHAnsi" w:hAnsiTheme="majorHAnsi" w:cstheme="majorHAnsi"/>
          <w:b/>
          <w:bCs/>
          <w:sz w:val="22"/>
          <w:szCs w:val="22"/>
        </w:rPr>
        <w:t>Verona</w:t>
      </w:r>
      <w:r w:rsidR="00702E30">
        <w:rPr>
          <w:rFonts w:asciiTheme="majorHAnsi" w:hAnsiTheme="majorHAnsi" w:cstheme="majorHAnsi"/>
          <w:sz w:val="22"/>
          <w:szCs w:val="22"/>
        </w:rPr>
        <w:t xml:space="preserve"> -11,5%.</w:t>
      </w:r>
    </w:p>
    <w:p w14:paraId="5A9E48E9" w14:textId="0F785AA8" w:rsidR="00A5669B" w:rsidRDefault="00A5669B" w:rsidP="00CC2B99">
      <w:pPr>
        <w:jc w:val="center"/>
        <w:rPr>
          <w:rFonts w:asciiTheme="majorHAnsi" w:hAnsiTheme="majorHAnsi" w:cstheme="majorHAnsi"/>
          <w:b/>
          <w:bCs/>
          <w:color w:val="000000" w:themeColor="text1"/>
        </w:rPr>
      </w:pPr>
    </w:p>
    <w:p w14:paraId="173A87B8" w14:textId="51293A09" w:rsidR="00702E30" w:rsidRDefault="00702E30" w:rsidP="00CC2B99">
      <w:pPr>
        <w:jc w:val="center"/>
        <w:rPr>
          <w:rFonts w:asciiTheme="majorHAnsi" w:hAnsiTheme="majorHAnsi" w:cstheme="majorHAnsi"/>
          <w:b/>
          <w:bCs/>
          <w:color w:val="000000" w:themeColor="text1"/>
        </w:rPr>
      </w:pPr>
      <w:r>
        <w:rPr>
          <w:rFonts w:asciiTheme="majorHAnsi" w:hAnsiTheme="majorHAnsi" w:cstheme="majorHAnsi"/>
          <w:b/>
          <w:bCs/>
          <w:noProof/>
          <w:color w:val="000000" w:themeColor="text1"/>
        </w:rPr>
        <w:drawing>
          <wp:inline distT="0" distB="0" distL="0" distR="0" wp14:anchorId="5CC1F375" wp14:editId="35C3F2C2">
            <wp:extent cx="3334828" cy="333121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0820" cy="3347185"/>
                    </a:xfrm>
                    <a:prstGeom prst="rect">
                      <a:avLst/>
                    </a:prstGeom>
                    <a:noFill/>
                  </pic:spPr>
                </pic:pic>
              </a:graphicData>
            </a:graphic>
          </wp:inline>
        </w:drawing>
      </w:r>
    </w:p>
    <w:p w14:paraId="4C1161F1" w14:textId="77777777" w:rsidR="00A5669B" w:rsidRPr="00CC2B99" w:rsidRDefault="00A5669B" w:rsidP="00CC2B99">
      <w:pPr>
        <w:jc w:val="center"/>
        <w:rPr>
          <w:rFonts w:asciiTheme="majorHAnsi" w:hAnsiTheme="majorHAnsi" w:cstheme="majorHAnsi"/>
          <w:b/>
          <w:bCs/>
          <w:color w:val="000000" w:themeColor="text1"/>
        </w:rPr>
      </w:pPr>
    </w:p>
    <w:p w14:paraId="7A6C2CAA" w14:textId="77777777" w:rsidR="00CC2B99" w:rsidRPr="00CC2B99" w:rsidRDefault="00CC2B99" w:rsidP="00CC2B99">
      <w:pPr>
        <w:jc w:val="center"/>
        <w:rPr>
          <w:rFonts w:asciiTheme="majorHAnsi" w:hAnsiTheme="majorHAnsi" w:cstheme="majorHAnsi"/>
          <w:b/>
          <w:bCs/>
          <w:color w:val="000000" w:themeColor="text1"/>
        </w:rPr>
      </w:pPr>
    </w:p>
    <w:p w14:paraId="39451B54" w14:textId="77777777" w:rsidR="00F661AD" w:rsidRDefault="00F661AD" w:rsidP="00CC2B99">
      <w:pPr>
        <w:jc w:val="center"/>
        <w:rPr>
          <w:rFonts w:asciiTheme="majorHAnsi" w:hAnsiTheme="majorHAnsi" w:cstheme="majorHAnsi"/>
          <w:b/>
          <w:bCs/>
          <w:color w:val="000000" w:themeColor="text1"/>
        </w:rPr>
      </w:pPr>
    </w:p>
    <w:p w14:paraId="53F2210B" w14:textId="5F6ED097" w:rsidR="00CC2B99" w:rsidRPr="00CC2B99" w:rsidRDefault="00CC2B99" w:rsidP="00CC2B99">
      <w:pPr>
        <w:jc w:val="center"/>
        <w:rPr>
          <w:rFonts w:asciiTheme="majorHAnsi" w:hAnsiTheme="majorHAnsi" w:cstheme="majorHAnsi"/>
          <w:b/>
          <w:bCs/>
          <w:color w:val="000000" w:themeColor="text1"/>
        </w:rPr>
      </w:pPr>
      <w:r w:rsidRPr="00CC2B99">
        <w:rPr>
          <w:rFonts w:asciiTheme="majorHAnsi" w:hAnsiTheme="majorHAnsi" w:cstheme="majorHAnsi"/>
          <w:b/>
          <w:bCs/>
          <w:color w:val="000000" w:themeColor="text1"/>
        </w:rPr>
        <w:t>Analisi principali province</w:t>
      </w:r>
    </w:p>
    <w:p w14:paraId="0AEA95A4" w14:textId="77777777" w:rsidR="00CC2B99" w:rsidRPr="00CC2B99" w:rsidRDefault="00CC2B99" w:rsidP="00CC2B99">
      <w:pPr>
        <w:jc w:val="center"/>
        <w:rPr>
          <w:rFonts w:asciiTheme="majorHAnsi" w:hAnsiTheme="majorHAnsi" w:cstheme="majorHAnsi"/>
          <w:b/>
          <w:bCs/>
          <w:color w:val="000000" w:themeColor="text1"/>
        </w:rPr>
      </w:pPr>
    </w:p>
    <w:p w14:paraId="448A3249" w14:textId="740C120F" w:rsidR="00A52ECD" w:rsidRDefault="00702E30" w:rsidP="00A52ECD">
      <w:pPr>
        <w:jc w:val="both"/>
        <w:rPr>
          <w:rFonts w:ascii="Calibri" w:eastAsia="Times New Roman" w:hAnsi="Calibri" w:cs="Calibri"/>
          <w:color w:val="000000"/>
          <w:sz w:val="22"/>
          <w:szCs w:val="22"/>
          <w:lang w:eastAsia="it-IT"/>
        </w:rPr>
      </w:pPr>
      <w:r>
        <w:rPr>
          <w:rFonts w:asciiTheme="majorHAnsi" w:hAnsiTheme="majorHAnsi" w:cstheme="majorHAnsi"/>
          <w:sz w:val="22"/>
          <w:szCs w:val="22"/>
        </w:rPr>
        <w:t xml:space="preserve">Confrontando il mese di aprile 2022 vs aprile 2019, la Provincia di </w:t>
      </w:r>
      <w:r w:rsidRPr="00971DFB">
        <w:rPr>
          <w:rFonts w:asciiTheme="majorHAnsi" w:hAnsiTheme="majorHAnsi" w:cstheme="majorHAnsi"/>
          <w:b/>
          <w:bCs/>
          <w:sz w:val="22"/>
          <w:szCs w:val="22"/>
        </w:rPr>
        <w:t>Napoli</w:t>
      </w:r>
      <w:r>
        <w:rPr>
          <w:rFonts w:asciiTheme="majorHAnsi" w:hAnsiTheme="majorHAnsi" w:cstheme="majorHAnsi"/>
          <w:sz w:val="22"/>
          <w:szCs w:val="22"/>
        </w:rPr>
        <w:t xml:space="preserve"> è quella con trend migliore a +8,2%, seguita da </w:t>
      </w:r>
      <w:r w:rsidRPr="00971DFB">
        <w:rPr>
          <w:rFonts w:asciiTheme="majorHAnsi" w:hAnsiTheme="majorHAnsi" w:cstheme="majorHAnsi"/>
          <w:b/>
          <w:bCs/>
          <w:sz w:val="22"/>
          <w:szCs w:val="22"/>
        </w:rPr>
        <w:t>Catania</w:t>
      </w:r>
      <w:r>
        <w:rPr>
          <w:rFonts w:asciiTheme="majorHAnsi" w:hAnsiTheme="majorHAnsi" w:cstheme="majorHAnsi"/>
          <w:sz w:val="22"/>
          <w:szCs w:val="22"/>
        </w:rPr>
        <w:t xml:space="preserve"> +4,5% e </w:t>
      </w:r>
      <w:r w:rsidRPr="00971DFB">
        <w:rPr>
          <w:rFonts w:asciiTheme="majorHAnsi" w:hAnsiTheme="majorHAnsi" w:cstheme="majorHAnsi"/>
          <w:b/>
          <w:bCs/>
          <w:sz w:val="22"/>
          <w:szCs w:val="22"/>
        </w:rPr>
        <w:t>Caserta</w:t>
      </w:r>
      <w:r>
        <w:rPr>
          <w:rFonts w:asciiTheme="majorHAnsi" w:hAnsiTheme="majorHAnsi" w:cstheme="majorHAnsi"/>
          <w:sz w:val="22"/>
          <w:szCs w:val="22"/>
        </w:rPr>
        <w:t xml:space="preserve"> +3,4%. La provincia con trend peggiore è </w:t>
      </w:r>
      <w:r w:rsidRPr="00971DFB">
        <w:rPr>
          <w:rFonts w:asciiTheme="majorHAnsi" w:hAnsiTheme="majorHAnsi" w:cstheme="majorHAnsi"/>
          <w:b/>
          <w:bCs/>
          <w:sz w:val="22"/>
          <w:szCs w:val="22"/>
        </w:rPr>
        <w:t>Bologna</w:t>
      </w:r>
      <w:r>
        <w:rPr>
          <w:rFonts w:asciiTheme="majorHAnsi" w:hAnsiTheme="majorHAnsi" w:cstheme="majorHAnsi"/>
          <w:sz w:val="22"/>
          <w:szCs w:val="22"/>
        </w:rPr>
        <w:t xml:space="preserve"> -22,8%, seguita da </w:t>
      </w:r>
      <w:r w:rsidRPr="00971DFB">
        <w:rPr>
          <w:rFonts w:asciiTheme="majorHAnsi" w:hAnsiTheme="majorHAnsi" w:cstheme="majorHAnsi"/>
          <w:b/>
          <w:bCs/>
          <w:sz w:val="22"/>
          <w:szCs w:val="22"/>
        </w:rPr>
        <w:t>Venezia</w:t>
      </w:r>
      <w:r>
        <w:rPr>
          <w:rFonts w:asciiTheme="majorHAnsi" w:hAnsiTheme="majorHAnsi" w:cstheme="majorHAnsi"/>
          <w:sz w:val="22"/>
          <w:szCs w:val="22"/>
        </w:rPr>
        <w:t xml:space="preserve"> -19,9%, </w:t>
      </w:r>
      <w:r w:rsidRPr="00971DFB">
        <w:rPr>
          <w:rFonts w:asciiTheme="majorHAnsi" w:hAnsiTheme="majorHAnsi" w:cstheme="majorHAnsi"/>
          <w:b/>
          <w:bCs/>
          <w:sz w:val="22"/>
          <w:szCs w:val="22"/>
        </w:rPr>
        <w:t>Torino</w:t>
      </w:r>
      <w:r>
        <w:rPr>
          <w:rFonts w:asciiTheme="majorHAnsi" w:hAnsiTheme="majorHAnsi" w:cstheme="majorHAnsi"/>
          <w:sz w:val="22"/>
          <w:szCs w:val="22"/>
        </w:rPr>
        <w:t xml:space="preserve"> -19,2%, </w:t>
      </w:r>
      <w:r w:rsidRPr="00971DFB">
        <w:rPr>
          <w:rFonts w:asciiTheme="majorHAnsi" w:hAnsiTheme="majorHAnsi" w:cstheme="majorHAnsi"/>
          <w:b/>
          <w:bCs/>
          <w:sz w:val="22"/>
          <w:szCs w:val="22"/>
        </w:rPr>
        <w:t>Firenze</w:t>
      </w:r>
      <w:r>
        <w:rPr>
          <w:rFonts w:asciiTheme="majorHAnsi" w:hAnsiTheme="majorHAnsi" w:cstheme="majorHAnsi"/>
          <w:sz w:val="22"/>
          <w:szCs w:val="22"/>
        </w:rPr>
        <w:t xml:space="preserve"> -15,3% e </w:t>
      </w:r>
      <w:r w:rsidRPr="00971DFB">
        <w:rPr>
          <w:rFonts w:asciiTheme="majorHAnsi" w:hAnsiTheme="majorHAnsi" w:cstheme="majorHAnsi"/>
          <w:b/>
          <w:bCs/>
          <w:sz w:val="22"/>
          <w:szCs w:val="22"/>
        </w:rPr>
        <w:t>Verona</w:t>
      </w:r>
      <w:r>
        <w:rPr>
          <w:rFonts w:asciiTheme="majorHAnsi" w:hAnsiTheme="majorHAnsi" w:cstheme="majorHAnsi"/>
          <w:sz w:val="22"/>
          <w:szCs w:val="22"/>
        </w:rPr>
        <w:t xml:space="preserve"> -10,6%. </w:t>
      </w:r>
      <w:r w:rsidR="00A52ECD">
        <w:rPr>
          <w:rFonts w:asciiTheme="majorHAnsi" w:hAnsiTheme="majorHAnsi" w:cstheme="majorHAnsi"/>
          <w:sz w:val="22"/>
          <w:szCs w:val="22"/>
        </w:rPr>
        <w:lastRenderedPageBreak/>
        <w:t xml:space="preserve">Ancora con segno negativo anche le province di </w:t>
      </w:r>
      <w:r w:rsidR="00A52ECD" w:rsidRPr="00971DFB">
        <w:rPr>
          <w:rFonts w:asciiTheme="majorHAnsi" w:hAnsiTheme="majorHAnsi" w:cstheme="majorHAnsi"/>
          <w:b/>
          <w:bCs/>
          <w:sz w:val="22"/>
          <w:szCs w:val="22"/>
        </w:rPr>
        <w:t>Monza e Brianza</w:t>
      </w:r>
      <w:r w:rsidR="00A52ECD">
        <w:rPr>
          <w:rFonts w:asciiTheme="majorHAnsi" w:hAnsiTheme="majorHAnsi" w:cstheme="majorHAnsi"/>
          <w:sz w:val="22"/>
          <w:szCs w:val="22"/>
        </w:rPr>
        <w:t xml:space="preserve"> -6,7%, </w:t>
      </w:r>
      <w:r w:rsidR="00A52ECD" w:rsidRPr="00971DFB">
        <w:rPr>
          <w:rFonts w:asciiTheme="majorHAnsi" w:hAnsiTheme="majorHAnsi" w:cstheme="majorHAnsi"/>
          <w:b/>
          <w:bCs/>
          <w:sz w:val="22"/>
          <w:szCs w:val="22"/>
        </w:rPr>
        <w:t>Palermo</w:t>
      </w:r>
      <w:r w:rsidR="00A52ECD">
        <w:rPr>
          <w:rFonts w:asciiTheme="majorHAnsi" w:hAnsiTheme="majorHAnsi" w:cstheme="majorHAnsi"/>
          <w:sz w:val="22"/>
          <w:szCs w:val="22"/>
        </w:rPr>
        <w:t xml:space="preserve"> -4,6%, </w:t>
      </w:r>
      <w:r w:rsidR="00A52ECD" w:rsidRPr="00971DFB">
        <w:rPr>
          <w:rFonts w:asciiTheme="majorHAnsi" w:hAnsiTheme="majorHAnsi" w:cstheme="majorHAnsi"/>
          <w:b/>
          <w:bCs/>
          <w:sz w:val="22"/>
          <w:szCs w:val="22"/>
        </w:rPr>
        <w:t>Brescia</w:t>
      </w:r>
      <w:r w:rsidR="00A52ECD">
        <w:rPr>
          <w:rFonts w:asciiTheme="majorHAnsi" w:hAnsiTheme="majorHAnsi" w:cstheme="majorHAnsi"/>
          <w:sz w:val="22"/>
          <w:szCs w:val="22"/>
        </w:rPr>
        <w:t xml:space="preserve"> </w:t>
      </w:r>
      <w:r w:rsidR="00A52ECD" w:rsidRPr="00A52ECD">
        <w:rPr>
          <w:rFonts w:asciiTheme="majorHAnsi" w:hAnsiTheme="majorHAnsi" w:cstheme="majorHAnsi"/>
          <w:sz w:val="22"/>
          <w:szCs w:val="22"/>
        </w:rPr>
        <w:t>-4,1%</w:t>
      </w:r>
      <w:r w:rsidR="00A52ECD">
        <w:rPr>
          <w:rFonts w:asciiTheme="majorHAnsi" w:hAnsiTheme="majorHAnsi" w:cstheme="majorHAnsi"/>
          <w:sz w:val="22"/>
          <w:szCs w:val="22"/>
        </w:rPr>
        <w:t xml:space="preserve">, </w:t>
      </w:r>
      <w:r w:rsidR="00A52ECD" w:rsidRPr="00971DFB">
        <w:rPr>
          <w:rFonts w:asciiTheme="majorHAnsi" w:hAnsiTheme="majorHAnsi" w:cstheme="majorHAnsi"/>
          <w:b/>
          <w:bCs/>
          <w:sz w:val="22"/>
          <w:szCs w:val="22"/>
        </w:rPr>
        <w:t>Varese</w:t>
      </w:r>
      <w:r w:rsidR="00A52ECD">
        <w:rPr>
          <w:rFonts w:asciiTheme="majorHAnsi" w:hAnsiTheme="majorHAnsi" w:cstheme="majorHAnsi"/>
          <w:sz w:val="22"/>
          <w:szCs w:val="22"/>
        </w:rPr>
        <w:t xml:space="preserve"> </w:t>
      </w:r>
      <w:r w:rsidR="00A52ECD" w:rsidRPr="00A52ECD">
        <w:rPr>
          <w:rFonts w:ascii="Calibri" w:eastAsia="Times New Roman" w:hAnsi="Calibri" w:cs="Calibri"/>
          <w:color w:val="000000"/>
          <w:sz w:val="22"/>
          <w:szCs w:val="22"/>
          <w:lang w:eastAsia="it-IT"/>
        </w:rPr>
        <w:t>-3,8%</w:t>
      </w:r>
      <w:r w:rsidR="00A52ECD">
        <w:rPr>
          <w:rFonts w:ascii="Calibri" w:eastAsia="Times New Roman" w:hAnsi="Calibri" w:cs="Calibri"/>
          <w:color w:val="000000"/>
          <w:sz w:val="22"/>
          <w:szCs w:val="22"/>
          <w:lang w:eastAsia="it-IT"/>
        </w:rPr>
        <w:t xml:space="preserve">, </w:t>
      </w:r>
      <w:r w:rsidR="00A52ECD" w:rsidRPr="00971DFB">
        <w:rPr>
          <w:rFonts w:ascii="Calibri" w:eastAsia="Times New Roman" w:hAnsi="Calibri" w:cs="Calibri"/>
          <w:b/>
          <w:bCs/>
          <w:color w:val="000000"/>
          <w:sz w:val="22"/>
          <w:szCs w:val="22"/>
          <w:lang w:eastAsia="it-IT"/>
        </w:rPr>
        <w:t>Bergamo</w:t>
      </w:r>
      <w:r w:rsidR="00A52ECD">
        <w:rPr>
          <w:rFonts w:ascii="Calibri" w:eastAsia="Times New Roman" w:hAnsi="Calibri" w:cs="Calibri"/>
          <w:color w:val="000000"/>
          <w:sz w:val="22"/>
          <w:szCs w:val="22"/>
          <w:lang w:eastAsia="it-IT"/>
        </w:rPr>
        <w:t xml:space="preserve"> </w:t>
      </w:r>
      <w:r w:rsidR="00A52ECD" w:rsidRPr="00A52ECD">
        <w:rPr>
          <w:rFonts w:ascii="Calibri" w:eastAsia="Times New Roman" w:hAnsi="Calibri" w:cs="Calibri"/>
          <w:color w:val="000000"/>
          <w:sz w:val="22"/>
          <w:szCs w:val="22"/>
          <w:lang w:eastAsia="it-IT"/>
        </w:rPr>
        <w:t>-3,6%</w:t>
      </w:r>
      <w:r w:rsidR="00A52ECD">
        <w:rPr>
          <w:rFonts w:ascii="Calibri" w:eastAsia="Times New Roman" w:hAnsi="Calibri" w:cs="Calibri"/>
          <w:color w:val="000000"/>
          <w:sz w:val="22"/>
          <w:szCs w:val="22"/>
          <w:lang w:eastAsia="it-IT"/>
        </w:rPr>
        <w:t xml:space="preserve">, </w:t>
      </w:r>
      <w:r w:rsidR="00A52ECD" w:rsidRPr="00971DFB">
        <w:rPr>
          <w:rFonts w:ascii="Calibri" w:eastAsia="Times New Roman" w:hAnsi="Calibri" w:cs="Calibri"/>
          <w:b/>
          <w:bCs/>
          <w:color w:val="000000"/>
          <w:sz w:val="22"/>
          <w:szCs w:val="22"/>
          <w:lang w:eastAsia="it-IT"/>
        </w:rPr>
        <w:t>Milano</w:t>
      </w:r>
      <w:r w:rsidR="00A52ECD">
        <w:rPr>
          <w:rFonts w:ascii="Calibri" w:eastAsia="Times New Roman" w:hAnsi="Calibri" w:cs="Calibri"/>
          <w:color w:val="000000"/>
          <w:sz w:val="22"/>
          <w:szCs w:val="22"/>
          <w:lang w:eastAsia="it-IT"/>
        </w:rPr>
        <w:t xml:space="preserve"> </w:t>
      </w:r>
      <w:r w:rsidR="00A52ECD" w:rsidRPr="00A52ECD">
        <w:rPr>
          <w:rFonts w:ascii="Calibri" w:eastAsia="Times New Roman" w:hAnsi="Calibri" w:cs="Calibri"/>
          <w:color w:val="000000"/>
          <w:sz w:val="22"/>
          <w:szCs w:val="22"/>
          <w:lang w:eastAsia="it-IT"/>
        </w:rPr>
        <w:t>-2,3%</w:t>
      </w:r>
      <w:r w:rsidR="00A52ECD">
        <w:rPr>
          <w:rFonts w:ascii="Calibri" w:eastAsia="Times New Roman" w:hAnsi="Calibri" w:cs="Calibri"/>
          <w:color w:val="000000"/>
          <w:sz w:val="22"/>
          <w:szCs w:val="22"/>
          <w:lang w:eastAsia="it-IT"/>
        </w:rPr>
        <w:t xml:space="preserve"> e </w:t>
      </w:r>
      <w:r w:rsidR="00A52ECD" w:rsidRPr="00971DFB">
        <w:rPr>
          <w:rFonts w:ascii="Calibri" w:eastAsia="Times New Roman" w:hAnsi="Calibri" w:cs="Calibri"/>
          <w:b/>
          <w:bCs/>
          <w:color w:val="000000"/>
          <w:sz w:val="22"/>
          <w:szCs w:val="22"/>
          <w:lang w:eastAsia="it-IT"/>
        </w:rPr>
        <w:t>Roma</w:t>
      </w:r>
      <w:r w:rsidR="00A52ECD">
        <w:rPr>
          <w:rFonts w:ascii="Calibri" w:eastAsia="Times New Roman" w:hAnsi="Calibri" w:cs="Calibri"/>
          <w:color w:val="000000"/>
          <w:sz w:val="22"/>
          <w:szCs w:val="22"/>
          <w:lang w:eastAsia="it-IT"/>
        </w:rPr>
        <w:t xml:space="preserve"> </w:t>
      </w:r>
      <w:r w:rsidR="00A52ECD" w:rsidRPr="00A52ECD">
        <w:rPr>
          <w:rFonts w:ascii="Calibri" w:eastAsia="Times New Roman" w:hAnsi="Calibri" w:cs="Calibri"/>
          <w:color w:val="000000"/>
          <w:sz w:val="22"/>
          <w:szCs w:val="22"/>
          <w:lang w:eastAsia="it-IT"/>
        </w:rPr>
        <w:t>-1,3%</w:t>
      </w:r>
      <w:r w:rsidR="00A52ECD">
        <w:rPr>
          <w:rFonts w:ascii="Calibri" w:eastAsia="Times New Roman" w:hAnsi="Calibri" w:cs="Calibri"/>
          <w:color w:val="000000"/>
          <w:sz w:val="22"/>
          <w:szCs w:val="22"/>
          <w:lang w:eastAsia="it-IT"/>
        </w:rPr>
        <w:t xml:space="preserve">. </w:t>
      </w:r>
    </w:p>
    <w:p w14:paraId="0E1DBA5F" w14:textId="258377CD" w:rsidR="00A52ECD" w:rsidRDefault="00A52ECD" w:rsidP="00A52ECD">
      <w:pPr>
        <w:jc w:val="both"/>
        <w:rPr>
          <w:rFonts w:ascii="Calibri" w:eastAsia="Times New Roman" w:hAnsi="Calibri" w:cs="Calibri"/>
          <w:color w:val="000000"/>
          <w:sz w:val="22"/>
          <w:szCs w:val="22"/>
          <w:lang w:eastAsia="it-IT"/>
        </w:rPr>
      </w:pPr>
    </w:p>
    <w:p w14:paraId="3F97AA2C" w14:textId="77777777" w:rsidR="00A52ECD" w:rsidRPr="00A52ECD" w:rsidRDefault="00A52ECD" w:rsidP="00A52ECD">
      <w:pPr>
        <w:jc w:val="both"/>
        <w:rPr>
          <w:rFonts w:ascii="Calibri" w:eastAsia="Times New Roman" w:hAnsi="Calibri" w:cs="Calibri"/>
          <w:color w:val="000000"/>
          <w:sz w:val="22"/>
          <w:szCs w:val="22"/>
          <w:lang w:eastAsia="it-IT"/>
        </w:rPr>
      </w:pPr>
    </w:p>
    <w:p w14:paraId="31BFD75B" w14:textId="5FD19852" w:rsidR="00A52ECD" w:rsidRPr="00A52ECD" w:rsidRDefault="00A52ECD" w:rsidP="00123A1E">
      <w:pPr>
        <w:jc w:val="center"/>
        <w:rPr>
          <w:rFonts w:ascii="Calibri" w:eastAsia="Times New Roman" w:hAnsi="Calibri" w:cs="Calibri"/>
          <w:color w:val="000000"/>
          <w:sz w:val="22"/>
          <w:szCs w:val="22"/>
          <w:lang w:eastAsia="it-IT"/>
        </w:rPr>
      </w:pPr>
      <w:r>
        <w:rPr>
          <w:rFonts w:ascii="Calibri" w:eastAsia="Times New Roman" w:hAnsi="Calibri" w:cs="Calibri"/>
          <w:noProof/>
          <w:color w:val="000000"/>
          <w:sz w:val="22"/>
          <w:szCs w:val="22"/>
          <w:lang w:eastAsia="it-IT"/>
        </w:rPr>
        <w:drawing>
          <wp:inline distT="0" distB="0" distL="0" distR="0" wp14:anchorId="6C415B47" wp14:editId="1F1FEE59">
            <wp:extent cx="2698753" cy="4140200"/>
            <wp:effectExtent l="0" t="0" r="635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3449" cy="4162745"/>
                    </a:xfrm>
                    <a:prstGeom prst="rect">
                      <a:avLst/>
                    </a:prstGeom>
                    <a:noFill/>
                  </pic:spPr>
                </pic:pic>
              </a:graphicData>
            </a:graphic>
          </wp:inline>
        </w:drawing>
      </w:r>
    </w:p>
    <w:p w14:paraId="1858266B" w14:textId="42691FB6" w:rsidR="00A52ECD" w:rsidRPr="00A52ECD" w:rsidRDefault="00A52ECD" w:rsidP="00A52ECD">
      <w:pPr>
        <w:jc w:val="both"/>
        <w:rPr>
          <w:rFonts w:ascii="Calibri" w:eastAsia="Times New Roman" w:hAnsi="Calibri" w:cs="Calibri"/>
          <w:color w:val="000000"/>
          <w:sz w:val="22"/>
          <w:szCs w:val="22"/>
          <w:lang w:eastAsia="it-IT"/>
        </w:rPr>
      </w:pPr>
    </w:p>
    <w:p w14:paraId="63D978C3" w14:textId="5F15B87E" w:rsidR="00A52ECD" w:rsidRPr="00A52ECD" w:rsidRDefault="00A52ECD" w:rsidP="00A52ECD">
      <w:pPr>
        <w:jc w:val="both"/>
        <w:rPr>
          <w:rFonts w:ascii="Calibri" w:eastAsia="Times New Roman" w:hAnsi="Calibri" w:cs="Calibri"/>
          <w:color w:val="000000"/>
          <w:sz w:val="22"/>
          <w:szCs w:val="22"/>
          <w:lang w:eastAsia="it-IT"/>
        </w:rPr>
      </w:pPr>
    </w:p>
    <w:p w14:paraId="6E568EE5" w14:textId="2A644692" w:rsidR="00CC2B99" w:rsidRDefault="00CC2B99" w:rsidP="00CC2B99">
      <w:pPr>
        <w:jc w:val="both"/>
        <w:rPr>
          <w:rFonts w:asciiTheme="majorHAnsi" w:hAnsiTheme="majorHAnsi" w:cstheme="majorHAnsi"/>
          <w:sz w:val="22"/>
          <w:szCs w:val="22"/>
        </w:rPr>
      </w:pPr>
    </w:p>
    <w:p w14:paraId="29CDAD98" w14:textId="5BAEBA49" w:rsidR="00E0321D" w:rsidRPr="00CE75F0" w:rsidRDefault="00E0321D" w:rsidP="00F661AD">
      <w:pPr>
        <w:jc w:val="center"/>
        <w:rPr>
          <w:rFonts w:asciiTheme="majorHAnsi" w:hAnsiTheme="majorHAnsi" w:cstheme="majorHAnsi"/>
          <w:color w:val="000000" w:themeColor="text1"/>
          <w:highlight w:val="yellow"/>
        </w:rPr>
      </w:pPr>
    </w:p>
    <w:p w14:paraId="52896E98" w14:textId="1186E50F" w:rsidR="00E0321D" w:rsidRDefault="00E0321D" w:rsidP="00E0321D">
      <w:pPr>
        <w:jc w:val="center"/>
        <w:rPr>
          <w:rFonts w:asciiTheme="majorHAnsi" w:hAnsiTheme="majorHAnsi" w:cstheme="majorHAnsi"/>
          <w:color w:val="000000" w:themeColor="text1"/>
          <w:sz w:val="20"/>
          <w:szCs w:val="20"/>
          <w:highlight w:val="yellow"/>
        </w:rPr>
      </w:pPr>
    </w:p>
    <w:p w14:paraId="7F0E3980" w14:textId="435D63D6" w:rsidR="00C109C2" w:rsidRDefault="00C109C2" w:rsidP="00E0321D">
      <w:pPr>
        <w:jc w:val="center"/>
        <w:rPr>
          <w:rFonts w:asciiTheme="majorHAnsi" w:hAnsiTheme="majorHAnsi" w:cstheme="majorHAnsi"/>
          <w:color w:val="000000" w:themeColor="text1"/>
          <w:sz w:val="20"/>
          <w:szCs w:val="20"/>
          <w:highlight w:val="yellow"/>
        </w:rPr>
      </w:pPr>
    </w:p>
    <w:p w14:paraId="08F31C3E" w14:textId="77777777" w:rsidR="00C109C2" w:rsidRPr="00CE75F0" w:rsidRDefault="00C109C2" w:rsidP="00E0321D">
      <w:pPr>
        <w:jc w:val="center"/>
        <w:rPr>
          <w:rFonts w:asciiTheme="majorHAnsi" w:hAnsiTheme="majorHAnsi" w:cstheme="majorHAnsi"/>
          <w:color w:val="000000" w:themeColor="text1"/>
          <w:sz w:val="20"/>
          <w:szCs w:val="20"/>
          <w:highlight w:val="yellow"/>
        </w:rPr>
      </w:pPr>
    </w:p>
    <w:p w14:paraId="7D6496E8" w14:textId="77777777" w:rsidR="00E0321D" w:rsidRPr="00E0321D" w:rsidRDefault="00E0321D" w:rsidP="00E0321D">
      <w:pPr>
        <w:rPr>
          <w:rFonts w:asciiTheme="majorHAnsi" w:hAnsiTheme="majorHAnsi" w:cstheme="majorHAnsi"/>
          <w:sz w:val="22"/>
          <w:szCs w:val="22"/>
        </w:rPr>
      </w:pPr>
    </w:p>
    <w:p w14:paraId="16FE2C62" w14:textId="77777777" w:rsidR="00E0321D" w:rsidRPr="00E0321D" w:rsidRDefault="00E0321D" w:rsidP="00E0321D">
      <w:pPr>
        <w:rPr>
          <w:rFonts w:asciiTheme="majorHAnsi" w:hAnsiTheme="majorHAnsi" w:cstheme="majorHAnsi"/>
          <w:b/>
          <w:noProof/>
          <w:sz w:val="22"/>
          <w:szCs w:val="22"/>
        </w:rPr>
      </w:pPr>
      <w:r w:rsidRPr="00E0321D">
        <w:rPr>
          <w:rFonts w:asciiTheme="majorHAnsi" w:hAnsiTheme="majorHAnsi" w:cstheme="majorHAnsi"/>
          <w:b/>
          <w:noProof/>
          <w:sz w:val="22"/>
          <w:szCs w:val="22"/>
        </w:rPr>
        <w:t xml:space="preserve">Ufficio Stampa Confimprese </w:t>
      </w:r>
    </w:p>
    <w:p w14:paraId="2FF966DF" w14:textId="77777777" w:rsidR="00E0321D" w:rsidRPr="00E0321D" w:rsidRDefault="00E0321D" w:rsidP="00E0321D">
      <w:pPr>
        <w:rPr>
          <w:rStyle w:val="Collegamentoipertestuale"/>
          <w:rFonts w:asciiTheme="majorHAnsi" w:hAnsiTheme="majorHAnsi" w:cstheme="majorHAnsi"/>
          <w:b/>
          <w:noProof/>
          <w:color w:val="auto"/>
          <w:sz w:val="22"/>
          <w:szCs w:val="22"/>
          <w:u w:val="none"/>
        </w:rPr>
      </w:pPr>
      <w:r w:rsidRPr="00E0321D">
        <w:rPr>
          <w:rFonts w:asciiTheme="majorHAnsi" w:hAnsiTheme="majorHAnsi" w:cstheme="majorHAnsi"/>
          <w:noProof/>
          <w:sz w:val="22"/>
          <w:szCs w:val="22"/>
        </w:rPr>
        <w:t>Laura Galdabini Cell. 335.5212410 - E-mail:</w:t>
      </w:r>
      <w:r w:rsidRPr="00E0321D">
        <w:rPr>
          <w:rFonts w:asciiTheme="majorHAnsi" w:hAnsiTheme="majorHAnsi" w:cstheme="majorHAnsi"/>
          <w:b/>
          <w:noProof/>
          <w:sz w:val="22"/>
          <w:szCs w:val="22"/>
        </w:rPr>
        <w:t xml:space="preserve"> </w:t>
      </w:r>
      <w:hyperlink r:id="rId17" w:history="1">
        <w:r w:rsidRPr="00E0321D">
          <w:rPr>
            <w:rStyle w:val="Collegamentoipertestuale"/>
            <w:rFonts w:asciiTheme="majorHAnsi" w:hAnsiTheme="majorHAnsi" w:cstheme="majorHAnsi"/>
            <w:noProof/>
            <w:sz w:val="22"/>
            <w:szCs w:val="22"/>
          </w:rPr>
          <w:t>l.galdabini@confimprese.it</w:t>
        </w:r>
      </w:hyperlink>
      <w:r w:rsidRPr="00E0321D">
        <w:rPr>
          <w:rStyle w:val="Collegamentoipertestuale"/>
          <w:rFonts w:asciiTheme="majorHAnsi" w:hAnsiTheme="majorHAnsi" w:cstheme="majorHAnsi"/>
          <w:noProof/>
          <w:sz w:val="22"/>
          <w:szCs w:val="22"/>
        </w:rPr>
        <w:t xml:space="preserve">                                                                                                     </w:t>
      </w:r>
    </w:p>
    <w:p w14:paraId="0DEC467E" w14:textId="77777777" w:rsidR="00E0321D" w:rsidRPr="00E0321D" w:rsidRDefault="00E0321D" w:rsidP="00E0321D">
      <w:pPr>
        <w:rPr>
          <w:rStyle w:val="Collegamentoipertestuale"/>
          <w:rFonts w:asciiTheme="majorHAnsi" w:hAnsiTheme="majorHAnsi" w:cstheme="majorHAnsi"/>
          <w:b/>
          <w:noProof/>
          <w:sz w:val="22"/>
          <w:szCs w:val="22"/>
        </w:rPr>
      </w:pPr>
    </w:p>
    <w:p w14:paraId="3C58FC35" w14:textId="77777777" w:rsidR="00E0321D" w:rsidRPr="00E0321D" w:rsidRDefault="00E0321D" w:rsidP="00E0321D">
      <w:pPr>
        <w:rPr>
          <w:rFonts w:asciiTheme="majorHAnsi" w:hAnsiTheme="majorHAnsi" w:cstheme="majorHAnsi"/>
          <w:b/>
          <w:noProof/>
          <w:sz w:val="22"/>
          <w:szCs w:val="22"/>
        </w:rPr>
      </w:pPr>
      <w:r w:rsidRPr="00E0321D">
        <w:rPr>
          <w:rFonts w:asciiTheme="majorHAnsi" w:hAnsiTheme="majorHAnsi" w:cstheme="majorHAnsi"/>
          <w:b/>
          <w:noProof/>
          <w:sz w:val="22"/>
          <w:szCs w:val="22"/>
        </w:rPr>
        <w:t>Ufficio stampa EY</w:t>
      </w:r>
    </w:p>
    <w:p w14:paraId="3CD04C14" w14:textId="77777777" w:rsidR="00E0321D" w:rsidRPr="00E0321D" w:rsidRDefault="00E0321D" w:rsidP="00E0321D">
      <w:pPr>
        <w:rPr>
          <w:rStyle w:val="Collegamentoipertestuale"/>
          <w:rFonts w:asciiTheme="majorHAnsi" w:eastAsia="MS Mincho" w:hAnsiTheme="majorHAnsi" w:cstheme="majorHAnsi"/>
          <w:sz w:val="22"/>
          <w:szCs w:val="22"/>
        </w:rPr>
      </w:pPr>
      <w:r w:rsidRPr="00E0321D">
        <w:rPr>
          <w:rFonts w:asciiTheme="majorHAnsi" w:eastAsia="MS Mincho" w:hAnsiTheme="majorHAnsi" w:cstheme="majorHAnsi"/>
          <w:sz w:val="22"/>
          <w:szCs w:val="22"/>
        </w:rPr>
        <w:t xml:space="preserve">Laura Crovetto Cell. 3398309986 – E-mail: </w:t>
      </w:r>
      <w:hyperlink r:id="rId18" w:history="1">
        <w:r w:rsidRPr="00E0321D">
          <w:rPr>
            <w:rStyle w:val="Collegamentoipertestuale"/>
            <w:rFonts w:asciiTheme="majorHAnsi" w:eastAsia="MS Mincho" w:hAnsiTheme="majorHAnsi" w:cstheme="majorHAnsi"/>
            <w:sz w:val="22"/>
            <w:szCs w:val="22"/>
          </w:rPr>
          <w:t>laura.crovetto@it.ey.com</w:t>
        </w:r>
      </w:hyperlink>
    </w:p>
    <w:p w14:paraId="1E037867" w14:textId="77777777" w:rsidR="00E0321D" w:rsidRPr="00E0321D" w:rsidRDefault="00E0321D" w:rsidP="00E0321D">
      <w:pPr>
        <w:rPr>
          <w:rStyle w:val="Collegamentoipertestuale"/>
          <w:rFonts w:ascii="Calibri" w:hAnsi="Calibri" w:cs="Calibri"/>
          <w:color w:val="auto"/>
          <w:sz w:val="22"/>
          <w:szCs w:val="22"/>
          <w:u w:val="none"/>
        </w:rPr>
      </w:pPr>
      <w:r w:rsidRPr="00E0321D">
        <w:rPr>
          <w:rFonts w:ascii="Calibri" w:hAnsi="Calibri" w:cs="Calibri"/>
          <w:sz w:val="22"/>
          <w:szCs w:val="22"/>
        </w:rPr>
        <w:t xml:space="preserve">Grazia Nappi Cell. 3332627719 – E-mail: </w:t>
      </w:r>
      <w:hyperlink r:id="rId19" w:tgtFrame="_blank" w:history="1">
        <w:r w:rsidRPr="00E0321D">
          <w:rPr>
            <w:rStyle w:val="Collegamentoipertestuale"/>
            <w:rFonts w:ascii="Calibri" w:hAnsi="Calibri" w:cs="Calibri"/>
            <w:sz w:val="22"/>
            <w:szCs w:val="22"/>
          </w:rPr>
          <w:t>Grazia.Nappi@it.ey.com</w:t>
        </w:r>
      </w:hyperlink>
    </w:p>
    <w:p w14:paraId="062ED8CB" w14:textId="77777777" w:rsidR="00E0321D" w:rsidRPr="00E0321D" w:rsidRDefault="00E0321D" w:rsidP="00E0321D">
      <w:pPr>
        <w:rPr>
          <w:rStyle w:val="Collegamentoipertestuale"/>
          <w:rFonts w:asciiTheme="majorHAnsi" w:hAnsiTheme="majorHAnsi" w:cstheme="majorHAnsi"/>
          <w:bCs/>
          <w:sz w:val="22"/>
          <w:szCs w:val="22"/>
        </w:rPr>
      </w:pPr>
    </w:p>
    <w:p w14:paraId="0345FD7F" w14:textId="27734335" w:rsidR="007C609C" w:rsidRPr="007C609C" w:rsidRDefault="007C609C" w:rsidP="00B456FB">
      <w:pPr>
        <w:rPr>
          <w:rFonts w:asciiTheme="majorHAnsi" w:hAnsiTheme="majorHAnsi" w:cstheme="majorHAnsi"/>
          <w:color w:val="000000"/>
          <w:sz w:val="22"/>
          <w:szCs w:val="22"/>
        </w:rPr>
      </w:pPr>
    </w:p>
    <w:sectPr w:rsidR="007C609C" w:rsidRPr="007C609C" w:rsidSect="0089316C">
      <w:headerReference w:type="default" r:id="rId20"/>
      <w:pgSz w:w="11900" w:h="16840"/>
      <w:pgMar w:top="1440" w:right="1800" w:bottom="1985" w:left="1800" w:header="708" w:footer="1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9215" w14:textId="77777777" w:rsidR="00B3697A" w:rsidRDefault="00B3697A" w:rsidP="0008496F">
      <w:r>
        <w:separator/>
      </w:r>
    </w:p>
  </w:endnote>
  <w:endnote w:type="continuationSeparator" w:id="0">
    <w:p w14:paraId="26D006C6" w14:textId="77777777" w:rsidR="00B3697A" w:rsidRDefault="00B3697A" w:rsidP="0008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F936" w14:textId="77777777" w:rsidR="00B3697A" w:rsidRDefault="00B3697A" w:rsidP="0008496F">
      <w:r>
        <w:separator/>
      </w:r>
    </w:p>
  </w:footnote>
  <w:footnote w:type="continuationSeparator" w:id="0">
    <w:p w14:paraId="109B9F20" w14:textId="77777777" w:rsidR="00B3697A" w:rsidRDefault="00B3697A" w:rsidP="00084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281D" w14:textId="77777777" w:rsidR="007208C3" w:rsidRDefault="007208C3" w:rsidP="00C1696A">
    <w:pPr>
      <w:pStyle w:val="Intestazione"/>
      <w:tabs>
        <w:tab w:val="left" w:pos="1650"/>
        <w:tab w:val="center" w:pos="4150"/>
      </w:tabs>
      <w:jc w:val="both"/>
      <w:rPr>
        <w:b/>
        <w:noProof/>
        <w:color w:val="FF0000"/>
        <w:sz w:val="28"/>
        <w:szCs w:val="28"/>
        <w:lang w:eastAsia="it-IT"/>
      </w:rPr>
    </w:pPr>
    <w:r w:rsidRPr="00403E75">
      <w:rPr>
        <w:b/>
        <w:noProof/>
        <w:color w:val="FF0000"/>
        <w:sz w:val="28"/>
        <w:szCs w:val="28"/>
        <w:lang w:eastAsia="it-IT"/>
      </w:rPr>
      <w:drawing>
        <wp:anchor distT="0" distB="0" distL="114300" distR="114300" simplePos="0" relativeHeight="251661312" behindDoc="1" locked="0" layoutInCell="1" allowOverlap="1" wp14:anchorId="1EC7B56D" wp14:editId="6E87E366">
          <wp:simplePos x="0" y="0"/>
          <wp:positionH relativeFrom="margin">
            <wp:posOffset>4254500</wp:posOffset>
          </wp:positionH>
          <wp:positionV relativeFrom="paragraph">
            <wp:posOffset>59690</wp:posOffset>
          </wp:positionV>
          <wp:extent cx="711200" cy="914400"/>
          <wp:effectExtent l="0" t="0" r="0" b="0"/>
          <wp:wrapTight wrapText="bothSides">
            <wp:wrapPolygon edited="0">
              <wp:start x="0" y="0"/>
              <wp:lineTo x="0" y="21150"/>
              <wp:lineTo x="20829" y="21150"/>
              <wp:lineTo x="20829" y="0"/>
              <wp:lineTo x="0" y="0"/>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11200" cy="914400"/>
                  </a:xfrm>
                  <a:prstGeom prst="rect">
                    <a:avLst/>
                  </a:prstGeom>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2336" behindDoc="1" locked="0" layoutInCell="1" allowOverlap="1" wp14:anchorId="6E2BA0DC" wp14:editId="1AC70BD7">
          <wp:simplePos x="0" y="0"/>
          <wp:positionH relativeFrom="column">
            <wp:posOffset>-69850</wp:posOffset>
          </wp:positionH>
          <wp:positionV relativeFrom="paragraph">
            <wp:posOffset>59690</wp:posOffset>
          </wp:positionV>
          <wp:extent cx="1546860" cy="984250"/>
          <wp:effectExtent l="0" t="0" r="0" b="6350"/>
          <wp:wrapTight wrapText="bothSides">
            <wp:wrapPolygon edited="0">
              <wp:start x="0" y="0"/>
              <wp:lineTo x="0" y="21321"/>
              <wp:lineTo x="21281" y="21321"/>
              <wp:lineTo x="21281" y="0"/>
              <wp:lineTo x="0" y="0"/>
            </wp:wrapPolygon>
          </wp:wrapTight>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fimprese new.jpg"/>
                  <pic:cNvPicPr/>
                </pic:nvPicPr>
                <pic:blipFill>
                  <a:blip r:embed="rId2">
                    <a:extLst>
                      <a:ext uri="{28A0092B-C50C-407E-A947-70E740481C1C}">
                        <a14:useLocalDpi xmlns:a14="http://schemas.microsoft.com/office/drawing/2010/main" val="0"/>
                      </a:ext>
                    </a:extLst>
                  </a:blip>
                  <a:stretch>
                    <a:fillRect/>
                  </a:stretch>
                </pic:blipFill>
                <pic:spPr>
                  <a:xfrm>
                    <a:off x="0" y="0"/>
                    <a:ext cx="1546860" cy="984250"/>
                  </a:xfrm>
                  <a:prstGeom prst="rect">
                    <a:avLst/>
                  </a:prstGeom>
                </pic:spPr>
              </pic:pic>
            </a:graphicData>
          </a:graphic>
          <wp14:sizeRelH relativeFrom="page">
            <wp14:pctWidth>0</wp14:pctWidth>
          </wp14:sizeRelH>
          <wp14:sizeRelV relativeFrom="page">
            <wp14:pctHeight>0</wp14:pctHeight>
          </wp14:sizeRelV>
        </wp:anchor>
      </w:drawing>
    </w:r>
  </w:p>
  <w:p w14:paraId="794DCADB" w14:textId="77777777" w:rsidR="007208C3" w:rsidRDefault="007208C3" w:rsidP="00C1696A">
    <w:pPr>
      <w:pStyle w:val="Intestazione"/>
      <w:tabs>
        <w:tab w:val="left" w:pos="1650"/>
        <w:tab w:val="center" w:pos="4150"/>
      </w:tabs>
      <w:jc w:val="both"/>
      <w:rPr>
        <w:b/>
        <w:noProof/>
        <w:color w:val="FF0000"/>
        <w:sz w:val="28"/>
        <w:szCs w:val="28"/>
        <w:lang w:eastAsia="it-IT"/>
      </w:rPr>
    </w:pPr>
  </w:p>
  <w:p w14:paraId="386C2A2C" w14:textId="77777777" w:rsidR="007208C3" w:rsidRDefault="007208C3" w:rsidP="00C1696A">
    <w:pPr>
      <w:pStyle w:val="Intestazione"/>
      <w:tabs>
        <w:tab w:val="left" w:pos="1650"/>
        <w:tab w:val="center" w:pos="4150"/>
      </w:tabs>
      <w:jc w:val="both"/>
      <w:rPr>
        <w:b/>
        <w:noProof/>
        <w:color w:val="FF0000"/>
        <w:sz w:val="28"/>
        <w:szCs w:val="28"/>
        <w:lang w:eastAsia="it-IT"/>
      </w:rPr>
    </w:pPr>
  </w:p>
  <w:p w14:paraId="289AA224" w14:textId="77777777" w:rsidR="007208C3" w:rsidRDefault="007208C3" w:rsidP="00C1696A">
    <w:pPr>
      <w:pStyle w:val="Intestazione"/>
      <w:tabs>
        <w:tab w:val="left" w:pos="1650"/>
        <w:tab w:val="center" w:pos="4150"/>
      </w:tabs>
      <w:jc w:val="both"/>
      <w:rPr>
        <w:b/>
        <w:noProof/>
        <w:color w:val="FF0000"/>
        <w:sz w:val="28"/>
        <w:szCs w:val="28"/>
        <w:lang w:eastAsia="it-IT"/>
      </w:rPr>
    </w:pPr>
  </w:p>
  <w:p w14:paraId="4F4B15D8" w14:textId="77777777" w:rsidR="007208C3" w:rsidRDefault="007208C3" w:rsidP="00C1696A">
    <w:pPr>
      <w:pStyle w:val="Intestazione"/>
      <w:tabs>
        <w:tab w:val="left" w:pos="1650"/>
        <w:tab w:val="center" w:pos="4150"/>
      </w:tabs>
      <w:jc w:val="both"/>
      <w:rPr>
        <w:b/>
        <w:noProof/>
        <w:color w:val="FF0000"/>
        <w:sz w:val="28"/>
        <w:szCs w:val="28"/>
        <w:lang w:eastAsia="it-IT"/>
      </w:rPr>
    </w:pPr>
  </w:p>
  <w:p w14:paraId="0E91E659" w14:textId="77777777" w:rsidR="007208C3" w:rsidRDefault="007208C3" w:rsidP="00C1696A">
    <w:pPr>
      <w:pStyle w:val="Intestazione"/>
      <w:tabs>
        <w:tab w:val="left" w:pos="1650"/>
        <w:tab w:val="center" w:pos="4150"/>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69AE"/>
    <w:multiLevelType w:val="hybridMultilevel"/>
    <w:tmpl w:val="064E20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8A2238"/>
    <w:multiLevelType w:val="hybridMultilevel"/>
    <w:tmpl w:val="DB54DF42"/>
    <w:lvl w:ilvl="0" w:tplc="96CEE79A">
      <w:start w:val="1"/>
      <w:numFmt w:val="bullet"/>
      <w:lvlText w:val="•"/>
      <w:lvlJc w:val="left"/>
      <w:pPr>
        <w:tabs>
          <w:tab w:val="num" w:pos="720"/>
        </w:tabs>
        <w:ind w:left="720" w:hanging="360"/>
      </w:pPr>
      <w:rPr>
        <w:rFonts w:ascii="Arial" w:hAnsi="Arial" w:hint="default"/>
      </w:rPr>
    </w:lvl>
    <w:lvl w:ilvl="1" w:tplc="B96AAF56">
      <w:start w:val="1"/>
      <w:numFmt w:val="bullet"/>
      <w:lvlText w:val="•"/>
      <w:lvlJc w:val="left"/>
      <w:pPr>
        <w:tabs>
          <w:tab w:val="num" w:pos="1440"/>
        </w:tabs>
        <w:ind w:left="1440" w:hanging="360"/>
      </w:pPr>
      <w:rPr>
        <w:rFonts w:ascii="Arial" w:hAnsi="Arial" w:hint="default"/>
      </w:rPr>
    </w:lvl>
    <w:lvl w:ilvl="2" w:tplc="E5EE9EDE" w:tentative="1">
      <w:start w:val="1"/>
      <w:numFmt w:val="bullet"/>
      <w:lvlText w:val="•"/>
      <w:lvlJc w:val="left"/>
      <w:pPr>
        <w:tabs>
          <w:tab w:val="num" w:pos="2160"/>
        </w:tabs>
        <w:ind w:left="2160" w:hanging="360"/>
      </w:pPr>
      <w:rPr>
        <w:rFonts w:ascii="Arial" w:hAnsi="Arial" w:hint="default"/>
      </w:rPr>
    </w:lvl>
    <w:lvl w:ilvl="3" w:tplc="1A1AD9EC" w:tentative="1">
      <w:start w:val="1"/>
      <w:numFmt w:val="bullet"/>
      <w:lvlText w:val="•"/>
      <w:lvlJc w:val="left"/>
      <w:pPr>
        <w:tabs>
          <w:tab w:val="num" w:pos="2880"/>
        </w:tabs>
        <w:ind w:left="2880" w:hanging="360"/>
      </w:pPr>
      <w:rPr>
        <w:rFonts w:ascii="Arial" w:hAnsi="Arial" w:hint="default"/>
      </w:rPr>
    </w:lvl>
    <w:lvl w:ilvl="4" w:tplc="E494A144" w:tentative="1">
      <w:start w:val="1"/>
      <w:numFmt w:val="bullet"/>
      <w:lvlText w:val="•"/>
      <w:lvlJc w:val="left"/>
      <w:pPr>
        <w:tabs>
          <w:tab w:val="num" w:pos="3600"/>
        </w:tabs>
        <w:ind w:left="3600" w:hanging="360"/>
      </w:pPr>
      <w:rPr>
        <w:rFonts w:ascii="Arial" w:hAnsi="Arial" w:hint="default"/>
      </w:rPr>
    </w:lvl>
    <w:lvl w:ilvl="5" w:tplc="400A267C" w:tentative="1">
      <w:start w:val="1"/>
      <w:numFmt w:val="bullet"/>
      <w:lvlText w:val="•"/>
      <w:lvlJc w:val="left"/>
      <w:pPr>
        <w:tabs>
          <w:tab w:val="num" w:pos="4320"/>
        </w:tabs>
        <w:ind w:left="4320" w:hanging="360"/>
      </w:pPr>
      <w:rPr>
        <w:rFonts w:ascii="Arial" w:hAnsi="Arial" w:hint="default"/>
      </w:rPr>
    </w:lvl>
    <w:lvl w:ilvl="6" w:tplc="B9046910" w:tentative="1">
      <w:start w:val="1"/>
      <w:numFmt w:val="bullet"/>
      <w:lvlText w:val="•"/>
      <w:lvlJc w:val="left"/>
      <w:pPr>
        <w:tabs>
          <w:tab w:val="num" w:pos="5040"/>
        </w:tabs>
        <w:ind w:left="5040" w:hanging="360"/>
      </w:pPr>
      <w:rPr>
        <w:rFonts w:ascii="Arial" w:hAnsi="Arial" w:hint="default"/>
      </w:rPr>
    </w:lvl>
    <w:lvl w:ilvl="7" w:tplc="FBBE6332" w:tentative="1">
      <w:start w:val="1"/>
      <w:numFmt w:val="bullet"/>
      <w:lvlText w:val="•"/>
      <w:lvlJc w:val="left"/>
      <w:pPr>
        <w:tabs>
          <w:tab w:val="num" w:pos="5760"/>
        </w:tabs>
        <w:ind w:left="5760" w:hanging="360"/>
      </w:pPr>
      <w:rPr>
        <w:rFonts w:ascii="Arial" w:hAnsi="Arial" w:hint="default"/>
      </w:rPr>
    </w:lvl>
    <w:lvl w:ilvl="8" w:tplc="14B832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784906"/>
    <w:multiLevelType w:val="hybridMultilevel"/>
    <w:tmpl w:val="427052F2"/>
    <w:lvl w:ilvl="0" w:tplc="590ED23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C3245"/>
    <w:multiLevelType w:val="hybridMultilevel"/>
    <w:tmpl w:val="D2DA9B1A"/>
    <w:lvl w:ilvl="0" w:tplc="75187D8C">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54788"/>
    <w:multiLevelType w:val="hybridMultilevel"/>
    <w:tmpl w:val="D2C09A98"/>
    <w:lvl w:ilvl="0" w:tplc="33885E58">
      <w:start w:val="1"/>
      <w:numFmt w:val="bullet"/>
      <w:lvlText w:val="•"/>
      <w:lvlJc w:val="left"/>
      <w:pPr>
        <w:tabs>
          <w:tab w:val="num" w:pos="720"/>
        </w:tabs>
        <w:ind w:left="720" w:hanging="360"/>
      </w:pPr>
      <w:rPr>
        <w:rFonts w:ascii="Arial" w:hAnsi="Arial" w:hint="default"/>
      </w:rPr>
    </w:lvl>
    <w:lvl w:ilvl="1" w:tplc="ECDA1FF0">
      <w:start w:val="1"/>
      <w:numFmt w:val="bullet"/>
      <w:lvlText w:val="•"/>
      <w:lvlJc w:val="left"/>
      <w:pPr>
        <w:tabs>
          <w:tab w:val="num" w:pos="1440"/>
        </w:tabs>
        <w:ind w:left="1440" w:hanging="360"/>
      </w:pPr>
      <w:rPr>
        <w:rFonts w:ascii="Arial" w:hAnsi="Arial" w:hint="default"/>
      </w:rPr>
    </w:lvl>
    <w:lvl w:ilvl="2" w:tplc="9A06446E" w:tentative="1">
      <w:start w:val="1"/>
      <w:numFmt w:val="bullet"/>
      <w:lvlText w:val="•"/>
      <w:lvlJc w:val="left"/>
      <w:pPr>
        <w:tabs>
          <w:tab w:val="num" w:pos="2160"/>
        </w:tabs>
        <w:ind w:left="2160" w:hanging="360"/>
      </w:pPr>
      <w:rPr>
        <w:rFonts w:ascii="Arial" w:hAnsi="Arial" w:hint="default"/>
      </w:rPr>
    </w:lvl>
    <w:lvl w:ilvl="3" w:tplc="BC92CFF0" w:tentative="1">
      <w:start w:val="1"/>
      <w:numFmt w:val="bullet"/>
      <w:lvlText w:val="•"/>
      <w:lvlJc w:val="left"/>
      <w:pPr>
        <w:tabs>
          <w:tab w:val="num" w:pos="2880"/>
        </w:tabs>
        <w:ind w:left="2880" w:hanging="360"/>
      </w:pPr>
      <w:rPr>
        <w:rFonts w:ascii="Arial" w:hAnsi="Arial" w:hint="default"/>
      </w:rPr>
    </w:lvl>
    <w:lvl w:ilvl="4" w:tplc="AAA4E068" w:tentative="1">
      <w:start w:val="1"/>
      <w:numFmt w:val="bullet"/>
      <w:lvlText w:val="•"/>
      <w:lvlJc w:val="left"/>
      <w:pPr>
        <w:tabs>
          <w:tab w:val="num" w:pos="3600"/>
        </w:tabs>
        <w:ind w:left="3600" w:hanging="360"/>
      </w:pPr>
      <w:rPr>
        <w:rFonts w:ascii="Arial" w:hAnsi="Arial" w:hint="default"/>
      </w:rPr>
    </w:lvl>
    <w:lvl w:ilvl="5" w:tplc="71A65CE2" w:tentative="1">
      <w:start w:val="1"/>
      <w:numFmt w:val="bullet"/>
      <w:lvlText w:val="•"/>
      <w:lvlJc w:val="left"/>
      <w:pPr>
        <w:tabs>
          <w:tab w:val="num" w:pos="4320"/>
        </w:tabs>
        <w:ind w:left="4320" w:hanging="360"/>
      </w:pPr>
      <w:rPr>
        <w:rFonts w:ascii="Arial" w:hAnsi="Arial" w:hint="default"/>
      </w:rPr>
    </w:lvl>
    <w:lvl w:ilvl="6" w:tplc="A156071C" w:tentative="1">
      <w:start w:val="1"/>
      <w:numFmt w:val="bullet"/>
      <w:lvlText w:val="•"/>
      <w:lvlJc w:val="left"/>
      <w:pPr>
        <w:tabs>
          <w:tab w:val="num" w:pos="5040"/>
        </w:tabs>
        <w:ind w:left="5040" w:hanging="360"/>
      </w:pPr>
      <w:rPr>
        <w:rFonts w:ascii="Arial" w:hAnsi="Arial" w:hint="default"/>
      </w:rPr>
    </w:lvl>
    <w:lvl w:ilvl="7" w:tplc="1A0452CE" w:tentative="1">
      <w:start w:val="1"/>
      <w:numFmt w:val="bullet"/>
      <w:lvlText w:val="•"/>
      <w:lvlJc w:val="left"/>
      <w:pPr>
        <w:tabs>
          <w:tab w:val="num" w:pos="5760"/>
        </w:tabs>
        <w:ind w:left="5760" w:hanging="360"/>
      </w:pPr>
      <w:rPr>
        <w:rFonts w:ascii="Arial" w:hAnsi="Arial" w:hint="default"/>
      </w:rPr>
    </w:lvl>
    <w:lvl w:ilvl="8" w:tplc="3650162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0156DC"/>
    <w:multiLevelType w:val="hybridMultilevel"/>
    <w:tmpl w:val="F342AD00"/>
    <w:lvl w:ilvl="0" w:tplc="7840A0D2">
      <w:start w:val="1"/>
      <w:numFmt w:val="bullet"/>
      <w:lvlText w:val="•"/>
      <w:lvlJc w:val="left"/>
      <w:pPr>
        <w:tabs>
          <w:tab w:val="num" w:pos="720"/>
        </w:tabs>
        <w:ind w:left="720" w:hanging="360"/>
      </w:pPr>
      <w:rPr>
        <w:rFonts w:ascii="Arial" w:hAnsi="Arial" w:hint="default"/>
      </w:rPr>
    </w:lvl>
    <w:lvl w:ilvl="1" w:tplc="364447E8">
      <w:start w:val="1"/>
      <w:numFmt w:val="bullet"/>
      <w:lvlText w:val="•"/>
      <w:lvlJc w:val="left"/>
      <w:pPr>
        <w:tabs>
          <w:tab w:val="num" w:pos="1440"/>
        </w:tabs>
        <w:ind w:left="1440" w:hanging="360"/>
      </w:pPr>
      <w:rPr>
        <w:rFonts w:ascii="Arial" w:hAnsi="Arial" w:hint="default"/>
      </w:rPr>
    </w:lvl>
    <w:lvl w:ilvl="2" w:tplc="26C8210C" w:tentative="1">
      <w:start w:val="1"/>
      <w:numFmt w:val="bullet"/>
      <w:lvlText w:val="•"/>
      <w:lvlJc w:val="left"/>
      <w:pPr>
        <w:tabs>
          <w:tab w:val="num" w:pos="2160"/>
        </w:tabs>
        <w:ind w:left="2160" w:hanging="360"/>
      </w:pPr>
      <w:rPr>
        <w:rFonts w:ascii="Arial" w:hAnsi="Arial" w:hint="default"/>
      </w:rPr>
    </w:lvl>
    <w:lvl w:ilvl="3" w:tplc="2AA4469C" w:tentative="1">
      <w:start w:val="1"/>
      <w:numFmt w:val="bullet"/>
      <w:lvlText w:val="•"/>
      <w:lvlJc w:val="left"/>
      <w:pPr>
        <w:tabs>
          <w:tab w:val="num" w:pos="2880"/>
        </w:tabs>
        <w:ind w:left="2880" w:hanging="360"/>
      </w:pPr>
      <w:rPr>
        <w:rFonts w:ascii="Arial" w:hAnsi="Arial" w:hint="default"/>
      </w:rPr>
    </w:lvl>
    <w:lvl w:ilvl="4" w:tplc="61AEA9FE" w:tentative="1">
      <w:start w:val="1"/>
      <w:numFmt w:val="bullet"/>
      <w:lvlText w:val="•"/>
      <w:lvlJc w:val="left"/>
      <w:pPr>
        <w:tabs>
          <w:tab w:val="num" w:pos="3600"/>
        </w:tabs>
        <w:ind w:left="3600" w:hanging="360"/>
      </w:pPr>
      <w:rPr>
        <w:rFonts w:ascii="Arial" w:hAnsi="Arial" w:hint="default"/>
      </w:rPr>
    </w:lvl>
    <w:lvl w:ilvl="5" w:tplc="2048B276" w:tentative="1">
      <w:start w:val="1"/>
      <w:numFmt w:val="bullet"/>
      <w:lvlText w:val="•"/>
      <w:lvlJc w:val="left"/>
      <w:pPr>
        <w:tabs>
          <w:tab w:val="num" w:pos="4320"/>
        </w:tabs>
        <w:ind w:left="4320" w:hanging="360"/>
      </w:pPr>
      <w:rPr>
        <w:rFonts w:ascii="Arial" w:hAnsi="Arial" w:hint="default"/>
      </w:rPr>
    </w:lvl>
    <w:lvl w:ilvl="6" w:tplc="FB160FF6" w:tentative="1">
      <w:start w:val="1"/>
      <w:numFmt w:val="bullet"/>
      <w:lvlText w:val="•"/>
      <w:lvlJc w:val="left"/>
      <w:pPr>
        <w:tabs>
          <w:tab w:val="num" w:pos="5040"/>
        </w:tabs>
        <w:ind w:left="5040" w:hanging="360"/>
      </w:pPr>
      <w:rPr>
        <w:rFonts w:ascii="Arial" w:hAnsi="Arial" w:hint="default"/>
      </w:rPr>
    </w:lvl>
    <w:lvl w:ilvl="7" w:tplc="943E8AF6" w:tentative="1">
      <w:start w:val="1"/>
      <w:numFmt w:val="bullet"/>
      <w:lvlText w:val="•"/>
      <w:lvlJc w:val="left"/>
      <w:pPr>
        <w:tabs>
          <w:tab w:val="num" w:pos="5760"/>
        </w:tabs>
        <w:ind w:left="5760" w:hanging="360"/>
      </w:pPr>
      <w:rPr>
        <w:rFonts w:ascii="Arial" w:hAnsi="Arial" w:hint="default"/>
      </w:rPr>
    </w:lvl>
    <w:lvl w:ilvl="8" w:tplc="6390EC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FD67383"/>
    <w:multiLevelType w:val="hybridMultilevel"/>
    <w:tmpl w:val="6ADA989C"/>
    <w:lvl w:ilvl="0" w:tplc="0410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0137923"/>
    <w:multiLevelType w:val="hybridMultilevel"/>
    <w:tmpl w:val="05AE3560"/>
    <w:lvl w:ilvl="0" w:tplc="0410000F">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4502E1"/>
    <w:multiLevelType w:val="hybridMultilevel"/>
    <w:tmpl w:val="69B83F68"/>
    <w:lvl w:ilvl="0" w:tplc="3CF4CB1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C23B16"/>
    <w:multiLevelType w:val="hybridMultilevel"/>
    <w:tmpl w:val="7D326198"/>
    <w:lvl w:ilvl="0" w:tplc="D35275CC">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F2572D"/>
    <w:multiLevelType w:val="hybridMultilevel"/>
    <w:tmpl w:val="6600A1FA"/>
    <w:lvl w:ilvl="0" w:tplc="0410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7B82EF0"/>
    <w:multiLevelType w:val="hybridMultilevel"/>
    <w:tmpl w:val="87C2BE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7CA543A"/>
    <w:multiLevelType w:val="hybridMultilevel"/>
    <w:tmpl w:val="F75E8A56"/>
    <w:lvl w:ilvl="0" w:tplc="90D22B9E">
      <w:start w:val="1"/>
      <w:numFmt w:val="bullet"/>
      <w:lvlText w:val=""/>
      <w:lvlJc w:val="left"/>
      <w:pPr>
        <w:tabs>
          <w:tab w:val="num" w:pos="720"/>
        </w:tabs>
        <w:ind w:left="720" w:hanging="360"/>
      </w:pPr>
      <w:rPr>
        <w:rFonts w:ascii="Wingdings" w:hAnsi="Wingdings" w:hint="default"/>
      </w:rPr>
    </w:lvl>
    <w:lvl w:ilvl="1" w:tplc="CDBAEF3A" w:tentative="1">
      <w:start w:val="1"/>
      <w:numFmt w:val="bullet"/>
      <w:lvlText w:val=""/>
      <w:lvlJc w:val="left"/>
      <w:pPr>
        <w:tabs>
          <w:tab w:val="num" w:pos="1440"/>
        </w:tabs>
        <w:ind w:left="1440" w:hanging="360"/>
      </w:pPr>
      <w:rPr>
        <w:rFonts w:ascii="Wingdings" w:hAnsi="Wingdings" w:hint="default"/>
      </w:rPr>
    </w:lvl>
    <w:lvl w:ilvl="2" w:tplc="0D2A8A82" w:tentative="1">
      <w:start w:val="1"/>
      <w:numFmt w:val="bullet"/>
      <w:lvlText w:val=""/>
      <w:lvlJc w:val="left"/>
      <w:pPr>
        <w:tabs>
          <w:tab w:val="num" w:pos="2160"/>
        </w:tabs>
        <w:ind w:left="2160" w:hanging="360"/>
      </w:pPr>
      <w:rPr>
        <w:rFonts w:ascii="Wingdings" w:hAnsi="Wingdings" w:hint="default"/>
      </w:rPr>
    </w:lvl>
    <w:lvl w:ilvl="3" w:tplc="FE6E50D8" w:tentative="1">
      <w:start w:val="1"/>
      <w:numFmt w:val="bullet"/>
      <w:lvlText w:val=""/>
      <w:lvlJc w:val="left"/>
      <w:pPr>
        <w:tabs>
          <w:tab w:val="num" w:pos="2880"/>
        </w:tabs>
        <w:ind w:left="2880" w:hanging="360"/>
      </w:pPr>
      <w:rPr>
        <w:rFonts w:ascii="Wingdings" w:hAnsi="Wingdings" w:hint="default"/>
      </w:rPr>
    </w:lvl>
    <w:lvl w:ilvl="4" w:tplc="C5222604" w:tentative="1">
      <w:start w:val="1"/>
      <w:numFmt w:val="bullet"/>
      <w:lvlText w:val=""/>
      <w:lvlJc w:val="left"/>
      <w:pPr>
        <w:tabs>
          <w:tab w:val="num" w:pos="3600"/>
        </w:tabs>
        <w:ind w:left="3600" w:hanging="360"/>
      </w:pPr>
      <w:rPr>
        <w:rFonts w:ascii="Wingdings" w:hAnsi="Wingdings" w:hint="default"/>
      </w:rPr>
    </w:lvl>
    <w:lvl w:ilvl="5" w:tplc="DCFE9B8E" w:tentative="1">
      <w:start w:val="1"/>
      <w:numFmt w:val="bullet"/>
      <w:lvlText w:val=""/>
      <w:lvlJc w:val="left"/>
      <w:pPr>
        <w:tabs>
          <w:tab w:val="num" w:pos="4320"/>
        </w:tabs>
        <w:ind w:left="4320" w:hanging="360"/>
      </w:pPr>
      <w:rPr>
        <w:rFonts w:ascii="Wingdings" w:hAnsi="Wingdings" w:hint="default"/>
      </w:rPr>
    </w:lvl>
    <w:lvl w:ilvl="6" w:tplc="FFAE60A4" w:tentative="1">
      <w:start w:val="1"/>
      <w:numFmt w:val="bullet"/>
      <w:lvlText w:val=""/>
      <w:lvlJc w:val="left"/>
      <w:pPr>
        <w:tabs>
          <w:tab w:val="num" w:pos="5040"/>
        </w:tabs>
        <w:ind w:left="5040" w:hanging="360"/>
      </w:pPr>
      <w:rPr>
        <w:rFonts w:ascii="Wingdings" w:hAnsi="Wingdings" w:hint="default"/>
      </w:rPr>
    </w:lvl>
    <w:lvl w:ilvl="7" w:tplc="CA3E50C2" w:tentative="1">
      <w:start w:val="1"/>
      <w:numFmt w:val="bullet"/>
      <w:lvlText w:val=""/>
      <w:lvlJc w:val="left"/>
      <w:pPr>
        <w:tabs>
          <w:tab w:val="num" w:pos="5760"/>
        </w:tabs>
        <w:ind w:left="5760" w:hanging="360"/>
      </w:pPr>
      <w:rPr>
        <w:rFonts w:ascii="Wingdings" w:hAnsi="Wingdings" w:hint="default"/>
      </w:rPr>
    </w:lvl>
    <w:lvl w:ilvl="8" w:tplc="8D44FB9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32714"/>
    <w:multiLevelType w:val="hybridMultilevel"/>
    <w:tmpl w:val="E33AB07C"/>
    <w:lvl w:ilvl="0" w:tplc="0F7A34E4">
      <w:start w:val="1"/>
      <w:numFmt w:val="bullet"/>
      <w:lvlText w:val="•"/>
      <w:lvlJc w:val="left"/>
      <w:pPr>
        <w:tabs>
          <w:tab w:val="num" w:pos="720"/>
        </w:tabs>
        <w:ind w:left="720" w:hanging="360"/>
      </w:pPr>
      <w:rPr>
        <w:rFonts w:ascii="Arial" w:hAnsi="Arial" w:hint="default"/>
      </w:rPr>
    </w:lvl>
    <w:lvl w:ilvl="1" w:tplc="6794F634">
      <w:start w:val="1"/>
      <w:numFmt w:val="bullet"/>
      <w:lvlText w:val="•"/>
      <w:lvlJc w:val="left"/>
      <w:pPr>
        <w:tabs>
          <w:tab w:val="num" w:pos="1440"/>
        </w:tabs>
        <w:ind w:left="1440" w:hanging="360"/>
      </w:pPr>
      <w:rPr>
        <w:rFonts w:ascii="Arial" w:hAnsi="Arial" w:hint="default"/>
      </w:rPr>
    </w:lvl>
    <w:lvl w:ilvl="2" w:tplc="CD5CBB28" w:tentative="1">
      <w:start w:val="1"/>
      <w:numFmt w:val="bullet"/>
      <w:lvlText w:val="•"/>
      <w:lvlJc w:val="left"/>
      <w:pPr>
        <w:tabs>
          <w:tab w:val="num" w:pos="2160"/>
        </w:tabs>
        <w:ind w:left="2160" w:hanging="360"/>
      </w:pPr>
      <w:rPr>
        <w:rFonts w:ascii="Arial" w:hAnsi="Arial" w:hint="default"/>
      </w:rPr>
    </w:lvl>
    <w:lvl w:ilvl="3" w:tplc="81DC6950" w:tentative="1">
      <w:start w:val="1"/>
      <w:numFmt w:val="bullet"/>
      <w:lvlText w:val="•"/>
      <w:lvlJc w:val="left"/>
      <w:pPr>
        <w:tabs>
          <w:tab w:val="num" w:pos="2880"/>
        </w:tabs>
        <w:ind w:left="2880" w:hanging="360"/>
      </w:pPr>
      <w:rPr>
        <w:rFonts w:ascii="Arial" w:hAnsi="Arial" w:hint="default"/>
      </w:rPr>
    </w:lvl>
    <w:lvl w:ilvl="4" w:tplc="890C1250" w:tentative="1">
      <w:start w:val="1"/>
      <w:numFmt w:val="bullet"/>
      <w:lvlText w:val="•"/>
      <w:lvlJc w:val="left"/>
      <w:pPr>
        <w:tabs>
          <w:tab w:val="num" w:pos="3600"/>
        </w:tabs>
        <w:ind w:left="3600" w:hanging="360"/>
      </w:pPr>
      <w:rPr>
        <w:rFonts w:ascii="Arial" w:hAnsi="Arial" w:hint="default"/>
      </w:rPr>
    </w:lvl>
    <w:lvl w:ilvl="5" w:tplc="E39EB95E" w:tentative="1">
      <w:start w:val="1"/>
      <w:numFmt w:val="bullet"/>
      <w:lvlText w:val="•"/>
      <w:lvlJc w:val="left"/>
      <w:pPr>
        <w:tabs>
          <w:tab w:val="num" w:pos="4320"/>
        </w:tabs>
        <w:ind w:left="4320" w:hanging="360"/>
      </w:pPr>
      <w:rPr>
        <w:rFonts w:ascii="Arial" w:hAnsi="Arial" w:hint="default"/>
      </w:rPr>
    </w:lvl>
    <w:lvl w:ilvl="6" w:tplc="CE54F862" w:tentative="1">
      <w:start w:val="1"/>
      <w:numFmt w:val="bullet"/>
      <w:lvlText w:val="•"/>
      <w:lvlJc w:val="left"/>
      <w:pPr>
        <w:tabs>
          <w:tab w:val="num" w:pos="5040"/>
        </w:tabs>
        <w:ind w:left="5040" w:hanging="360"/>
      </w:pPr>
      <w:rPr>
        <w:rFonts w:ascii="Arial" w:hAnsi="Arial" w:hint="default"/>
      </w:rPr>
    </w:lvl>
    <w:lvl w:ilvl="7" w:tplc="71D2138C" w:tentative="1">
      <w:start w:val="1"/>
      <w:numFmt w:val="bullet"/>
      <w:lvlText w:val="•"/>
      <w:lvlJc w:val="left"/>
      <w:pPr>
        <w:tabs>
          <w:tab w:val="num" w:pos="5760"/>
        </w:tabs>
        <w:ind w:left="5760" w:hanging="360"/>
      </w:pPr>
      <w:rPr>
        <w:rFonts w:ascii="Arial" w:hAnsi="Arial" w:hint="default"/>
      </w:rPr>
    </w:lvl>
    <w:lvl w:ilvl="8" w:tplc="378A07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26D6384"/>
    <w:multiLevelType w:val="hybridMultilevel"/>
    <w:tmpl w:val="1914787C"/>
    <w:lvl w:ilvl="0" w:tplc="0410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56D07C1"/>
    <w:multiLevelType w:val="multilevel"/>
    <w:tmpl w:val="62D4B74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606156"/>
    <w:multiLevelType w:val="hybridMultilevel"/>
    <w:tmpl w:val="C908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B9E1046"/>
    <w:multiLevelType w:val="hybridMultilevel"/>
    <w:tmpl w:val="A538D3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8E0A8E"/>
    <w:multiLevelType w:val="hybridMultilevel"/>
    <w:tmpl w:val="37A4F6BC"/>
    <w:lvl w:ilvl="0" w:tplc="5658D6E8">
      <w:start w:val="1"/>
      <w:numFmt w:val="bullet"/>
      <w:lvlText w:val=""/>
      <w:lvlJc w:val="left"/>
      <w:pPr>
        <w:tabs>
          <w:tab w:val="num" w:pos="720"/>
        </w:tabs>
        <w:ind w:left="720" w:hanging="360"/>
      </w:pPr>
      <w:rPr>
        <w:rFonts w:ascii="Wingdings" w:hAnsi="Wingdings" w:hint="default"/>
      </w:rPr>
    </w:lvl>
    <w:lvl w:ilvl="1" w:tplc="26F60D7C" w:tentative="1">
      <w:start w:val="1"/>
      <w:numFmt w:val="bullet"/>
      <w:lvlText w:val=""/>
      <w:lvlJc w:val="left"/>
      <w:pPr>
        <w:tabs>
          <w:tab w:val="num" w:pos="1440"/>
        </w:tabs>
        <w:ind w:left="1440" w:hanging="360"/>
      </w:pPr>
      <w:rPr>
        <w:rFonts w:ascii="Wingdings" w:hAnsi="Wingdings" w:hint="default"/>
      </w:rPr>
    </w:lvl>
    <w:lvl w:ilvl="2" w:tplc="D1AA187C" w:tentative="1">
      <w:start w:val="1"/>
      <w:numFmt w:val="bullet"/>
      <w:lvlText w:val=""/>
      <w:lvlJc w:val="left"/>
      <w:pPr>
        <w:tabs>
          <w:tab w:val="num" w:pos="2160"/>
        </w:tabs>
        <w:ind w:left="2160" w:hanging="360"/>
      </w:pPr>
      <w:rPr>
        <w:rFonts w:ascii="Wingdings" w:hAnsi="Wingdings" w:hint="default"/>
      </w:rPr>
    </w:lvl>
    <w:lvl w:ilvl="3" w:tplc="8D381F1E" w:tentative="1">
      <w:start w:val="1"/>
      <w:numFmt w:val="bullet"/>
      <w:lvlText w:val=""/>
      <w:lvlJc w:val="left"/>
      <w:pPr>
        <w:tabs>
          <w:tab w:val="num" w:pos="2880"/>
        </w:tabs>
        <w:ind w:left="2880" w:hanging="360"/>
      </w:pPr>
      <w:rPr>
        <w:rFonts w:ascii="Wingdings" w:hAnsi="Wingdings" w:hint="default"/>
      </w:rPr>
    </w:lvl>
    <w:lvl w:ilvl="4" w:tplc="1CA40C8A" w:tentative="1">
      <w:start w:val="1"/>
      <w:numFmt w:val="bullet"/>
      <w:lvlText w:val=""/>
      <w:lvlJc w:val="left"/>
      <w:pPr>
        <w:tabs>
          <w:tab w:val="num" w:pos="3600"/>
        </w:tabs>
        <w:ind w:left="3600" w:hanging="360"/>
      </w:pPr>
      <w:rPr>
        <w:rFonts w:ascii="Wingdings" w:hAnsi="Wingdings" w:hint="default"/>
      </w:rPr>
    </w:lvl>
    <w:lvl w:ilvl="5" w:tplc="57ACE9EA" w:tentative="1">
      <w:start w:val="1"/>
      <w:numFmt w:val="bullet"/>
      <w:lvlText w:val=""/>
      <w:lvlJc w:val="left"/>
      <w:pPr>
        <w:tabs>
          <w:tab w:val="num" w:pos="4320"/>
        </w:tabs>
        <w:ind w:left="4320" w:hanging="360"/>
      </w:pPr>
      <w:rPr>
        <w:rFonts w:ascii="Wingdings" w:hAnsi="Wingdings" w:hint="default"/>
      </w:rPr>
    </w:lvl>
    <w:lvl w:ilvl="6" w:tplc="6AACDCB8" w:tentative="1">
      <w:start w:val="1"/>
      <w:numFmt w:val="bullet"/>
      <w:lvlText w:val=""/>
      <w:lvlJc w:val="left"/>
      <w:pPr>
        <w:tabs>
          <w:tab w:val="num" w:pos="5040"/>
        </w:tabs>
        <w:ind w:left="5040" w:hanging="360"/>
      </w:pPr>
      <w:rPr>
        <w:rFonts w:ascii="Wingdings" w:hAnsi="Wingdings" w:hint="default"/>
      </w:rPr>
    </w:lvl>
    <w:lvl w:ilvl="7" w:tplc="01686C06" w:tentative="1">
      <w:start w:val="1"/>
      <w:numFmt w:val="bullet"/>
      <w:lvlText w:val=""/>
      <w:lvlJc w:val="left"/>
      <w:pPr>
        <w:tabs>
          <w:tab w:val="num" w:pos="5760"/>
        </w:tabs>
        <w:ind w:left="5760" w:hanging="360"/>
      </w:pPr>
      <w:rPr>
        <w:rFonts w:ascii="Wingdings" w:hAnsi="Wingdings" w:hint="default"/>
      </w:rPr>
    </w:lvl>
    <w:lvl w:ilvl="8" w:tplc="9E3CD9F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4C5178"/>
    <w:multiLevelType w:val="hybridMultilevel"/>
    <w:tmpl w:val="4788B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EAA6B0E"/>
    <w:multiLevelType w:val="hybridMultilevel"/>
    <w:tmpl w:val="AB4CFA16"/>
    <w:lvl w:ilvl="0" w:tplc="B3A410B6">
      <w:start w:val="1"/>
      <w:numFmt w:val="bullet"/>
      <w:lvlText w:val="•"/>
      <w:lvlJc w:val="left"/>
      <w:pPr>
        <w:tabs>
          <w:tab w:val="num" w:pos="720"/>
        </w:tabs>
        <w:ind w:left="720" w:hanging="360"/>
      </w:pPr>
      <w:rPr>
        <w:rFonts w:ascii="Arial" w:hAnsi="Arial" w:hint="default"/>
      </w:rPr>
    </w:lvl>
    <w:lvl w:ilvl="1" w:tplc="6902DE1A">
      <w:start w:val="1"/>
      <w:numFmt w:val="bullet"/>
      <w:lvlText w:val="•"/>
      <w:lvlJc w:val="left"/>
      <w:pPr>
        <w:tabs>
          <w:tab w:val="num" w:pos="1440"/>
        </w:tabs>
        <w:ind w:left="1440" w:hanging="360"/>
      </w:pPr>
      <w:rPr>
        <w:rFonts w:ascii="Arial" w:hAnsi="Arial" w:hint="default"/>
      </w:rPr>
    </w:lvl>
    <w:lvl w:ilvl="2" w:tplc="45D0B78C" w:tentative="1">
      <w:start w:val="1"/>
      <w:numFmt w:val="bullet"/>
      <w:lvlText w:val="•"/>
      <w:lvlJc w:val="left"/>
      <w:pPr>
        <w:tabs>
          <w:tab w:val="num" w:pos="2160"/>
        </w:tabs>
        <w:ind w:left="2160" w:hanging="360"/>
      </w:pPr>
      <w:rPr>
        <w:rFonts w:ascii="Arial" w:hAnsi="Arial" w:hint="default"/>
      </w:rPr>
    </w:lvl>
    <w:lvl w:ilvl="3" w:tplc="1292D722" w:tentative="1">
      <w:start w:val="1"/>
      <w:numFmt w:val="bullet"/>
      <w:lvlText w:val="•"/>
      <w:lvlJc w:val="left"/>
      <w:pPr>
        <w:tabs>
          <w:tab w:val="num" w:pos="2880"/>
        </w:tabs>
        <w:ind w:left="2880" w:hanging="360"/>
      </w:pPr>
      <w:rPr>
        <w:rFonts w:ascii="Arial" w:hAnsi="Arial" w:hint="default"/>
      </w:rPr>
    </w:lvl>
    <w:lvl w:ilvl="4" w:tplc="CD3C0DE8" w:tentative="1">
      <w:start w:val="1"/>
      <w:numFmt w:val="bullet"/>
      <w:lvlText w:val="•"/>
      <w:lvlJc w:val="left"/>
      <w:pPr>
        <w:tabs>
          <w:tab w:val="num" w:pos="3600"/>
        </w:tabs>
        <w:ind w:left="3600" w:hanging="360"/>
      </w:pPr>
      <w:rPr>
        <w:rFonts w:ascii="Arial" w:hAnsi="Arial" w:hint="default"/>
      </w:rPr>
    </w:lvl>
    <w:lvl w:ilvl="5" w:tplc="F7EA6C88" w:tentative="1">
      <w:start w:val="1"/>
      <w:numFmt w:val="bullet"/>
      <w:lvlText w:val="•"/>
      <w:lvlJc w:val="left"/>
      <w:pPr>
        <w:tabs>
          <w:tab w:val="num" w:pos="4320"/>
        </w:tabs>
        <w:ind w:left="4320" w:hanging="360"/>
      </w:pPr>
      <w:rPr>
        <w:rFonts w:ascii="Arial" w:hAnsi="Arial" w:hint="default"/>
      </w:rPr>
    </w:lvl>
    <w:lvl w:ilvl="6" w:tplc="3FE6B09C" w:tentative="1">
      <w:start w:val="1"/>
      <w:numFmt w:val="bullet"/>
      <w:lvlText w:val="•"/>
      <w:lvlJc w:val="left"/>
      <w:pPr>
        <w:tabs>
          <w:tab w:val="num" w:pos="5040"/>
        </w:tabs>
        <w:ind w:left="5040" w:hanging="360"/>
      </w:pPr>
      <w:rPr>
        <w:rFonts w:ascii="Arial" w:hAnsi="Arial" w:hint="default"/>
      </w:rPr>
    </w:lvl>
    <w:lvl w:ilvl="7" w:tplc="080AB19C" w:tentative="1">
      <w:start w:val="1"/>
      <w:numFmt w:val="bullet"/>
      <w:lvlText w:val="•"/>
      <w:lvlJc w:val="left"/>
      <w:pPr>
        <w:tabs>
          <w:tab w:val="num" w:pos="5760"/>
        </w:tabs>
        <w:ind w:left="5760" w:hanging="360"/>
      </w:pPr>
      <w:rPr>
        <w:rFonts w:ascii="Arial" w:hAnsi="Arial" w:hint="default"/>
      </w:rPr>
    </w:lvl>
    <w:lvl w:ilvl="8" w:tplc="24C4EA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0E03D2D"/>
    <w:multiLevelType w:val="hybridMultilevel"/>
    <w:tmpl w:val="007879C8"/>
    <w:lvl w:ilvl="0" w:tplc="885EF3D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DE3B01"/>
    <w:multiLevelType w:val="hybridMultilevel"/>
    <w:tmpl w:val="9D5A35BA"/>
    <w:lvl w:ilvl="0" w:tplc="0410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6B53254A"/>
    <w:multiLevelType w:val="hybridMultilevel"/>
    <w:tmpl w:val="0A688614"/>
    <w:lvl w:ilvl="0" w:tplc="640A295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4F4418"/>
    <w:multiLevelType w:val="hybridMultilevel"/>
    <w:tmpl w:val="552AC16A"/>
    <w:lvl w:ilvl="0" w:tplc="C57226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18539FC"/>
    <w:multiLevelType w:val="hybridMultilevel"/>
    <w:tmpl w:val="7194D5B4"/>
    <w:lvl w:ilvl="0" w:tplc="0E8A1F1E">
      <w:start w:val="1"/>
      <w:numFmt w:val="bullet"/>
      <w:lvlText w:val="•"/>
      <w:lvlJc w:val="left"/>
      <w:pPr>
        <w:tabs>
          <w:tab w:val="num" w:pos="720"/>
        </w:tabs>
        <w:ind w:left="720" w:hanging="360"/>
      </w:pPr>
      <w:rPr>
        <w:rFonts w:ascii="Arial" w:hAnsi="Arial" w:hint="default"/>
      </w:rPr>
    </w:lvl>
    <w:lvl w:ilvl="1" w:tplc="374A6F82">
      <w:start w:val="1"/>
      <w:numFmt w:val="bullet"/>
      <w:lvlText w:val="•"/>
      <w:lvlJc w:val="left"/>
      <w:pPr>
        <w:tabs>
          <w:tab w:val="num" w:pos="1440"/>
        </w:tabs>
        <w:ind w:left="1440" w:hanging="360"/>
      </w:pPr>
      <w:rPr>
        <w:rFonts w:ascii="Arial" w:hAnsi="Arial" w:hint="default"/>
      </w:rPr>
    </w:lvl>
    <w:lvl w:ilvl="2" w:tplc="42843D60" w:tentative="1">
      <w:start w:val="1"/>
      <w:numFmt w:val="bullet"/>
      <w:lvlText w:val="•"/>
      <w:lvlJc w:val="left"/>
      <w:pPr>
        <w:tabs>
          <w:tab w:val="num" w:pos="2160"/>
        </w:tabs>
        <w:ind w:left="2160" w:hanging="360"/>
      </w:pPr>
      <w:rPr>
        <w:rFonts w:ascii="Arial" w:hAnsi="Arial" w:hint="default"/>
      </w:rPr>
    </w:lvl>
    <w:lvl w:ilvl="3" w:tplc="D5969156" w:tentative="1">
      <w:start w:val="1"/>
      <w:numFmt w:val="bullet"/>
      <w:lvlText w:val="•"/>
      <w:lvlJc w:val="left"/>
      <w:pPr>
        <w:tabs>
          <w:tab w:val="num" w:pos="2880"/>
        </w:tabs>
        <w:ind w:left="2880" w:hanging="360"/>
      </w:pPr>
      <w:rPr>
        <w:rFonts w:ascii="Arial" w:hAnsi="Arial" w:hint="default"/>
      </w:rPr>
    </w:lvl>
    <w:lvl w:ilvl="4" w:tplc="2F22884C" w:tentative="1">
      <w:start w:val="1"/>
      <w:numFmt w:val="bullet"/>
      <w:lvlText w:val="•"/>
      <w:lvlJc w:val="left"/>
      <w:pPr>
        <w:tabs>
          <w:tab w:val="num" w:pos="3600"/>
        </w:tabs>
        <w:ind w:left="3600" w:hanging="360"/>
      </w:pPr>
      <w:rPr>
        <w:rFonts w:ascii="Arial" w:hAnsi="Arial" w:hint="default"/>
      </w:rPr>
    </w:lvl>
    <w:lvl w:ilvl="5" w:tplc="72021804" w:tentative="1">
      <w:start w:val="1"/>
      <w:numFmt w:val="bullet"/>
      <w:lvlText w:val="•"/>
      <w:lvlJc w:val="left"/>
      <w:pPr>
        <w:tabs>
          <w:tab w:val="num" w:pos="4320"/>
        </w:tabs>
        <w:ind w:left="4320" w:hanging="360"/>
      </w:pPr>
      <w:rPr>
        <w:rFonts w:ascii="Arial" w:hAnsi="Arial" w:hint="default"/>
      </w:rPr>
    </w:lvl>
    <w:lvl w:ilvl="6" w:tplc="A8E4D712" w:tentative="1">
      <w:start w:val="1"/>
      <w:numFmt w:val="bullet"/>
      <w:lvlText w:val="•"/>
      <w:lvlJc w:val="left"/>
      <w:pPr>
        <w:tabs>
          <w:tab w:val="num" w:pos="5040"/>
        </w:tabs>
        <w:ind w:left="5040" w:hanging="360"/>
      </w:pPr>
      <w:rPr>
        <w:rFonts w:ascii="Arial" w:hAnsi="Arial" w:hint="default"/>
      </w:rPr>
    </w:lvl>
    <w:lvl w:ilvl="7" w:tplc="6860A53C" w:tentative="1">
      <w:start w:val="1"/>
      <w:numFmt w:val="bullet"/>
      <w:lvlText w:val="•"/>
      <w:lvlJc w:val="left"/>
      <w:pPr>
        <w:tabs>
          <w:tab w:val="num" w:pos="5760"/>
        </w:tabs>
        <w:ind w:left="5760" w:hanging="360"/>
      </w:pPr>
      <w:rPr>
        <w:rFonts w:ascii="Arial" w:hAnsi="Arial" w:hint="default"/>
      </w:rPr>
    </w:lvl>
    <w:lvl w:ilvl="8" w:tplc="65A4E4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2D5DC0"/>
    <w:multiLevelType w:val="multilevel"/>
    <w:tmpl w:val="B2FCDC0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4C441B"/>
    <w:multiLevelType w:val="hybridMultilevel"/>
    <w:tmpl w:val="F7D2EB92"/>
    <w:lvl w:ilvl="0" w:tplc="6BE6D1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724986869">
    <w:abstractNumId w:val="17"/>
  </w:num>
  <w:num w:numId="2" w16cid:durableId="1140918740">
    <w:abstractNumId w:val="7"/>
  </w:num>
  <w:num w:numId="3" w16cid:durableId="815494036">
    <w:abstractNumId w:val="11"/>
  </w:num>
  <w:num w:numId="4" w16cid:durableId="996807720">
    <w:abstractNumId w:val="12"/>
  </w:num>
  <w:num w:numId="5" w16cid:durableId="124082309">
    <w:abstractNumId w:val="18"/>
  </w:num>
  <w:num w:numId="6" w16cid:durableId="416361765">
    <w:abstractNumId w:val="24"/>
  </w:num>
  <w:num w:numId="7" w16cid:durableId="437528041">
    <w:abstractNumId w:val="19"/>
  </w:num>
  <w:num w:numId="8" w16cid:durableId="1530677664">
    <w:abstractNumId w:val="26"/>
  </w:num>
  <w:num w:numId="9" w16cid:durableId="953247252">
    <w:abstractNumId w:val="20"/>
  </w:num>
  <w:num w:numId="10" w16cid:durableId="1796026490">
    <w:abstractNumId w:val="5"/>
  </w:num>
  <w:num w:numId="11" w16cid:durableId="1557817035">
    <w:abstractNumId w:val="1"/>
  </w:num>
  <w:num w:numId="12" w16cid:durableId="943683927">
    <w:abstractNumId w:val="25"/>
  </w:num>
  <w:num w:numId="13" w16cid:durableId="655188981">
    <w:abstractNumId w:val="4"/>
  </w:num>
  <w:num w:numId="14" w16cid:durableId="1039664043">
    <w:abstractNumId w:val="13"/>
  </w:num>
  <w:num w:numId="15" w16cid:durableId="136338166">
    <w:abstractNumId w:val="6"/>
  </w:num>
  <w:num w:numId="16" w16cid:durableId="1956256717">
    <w:abstractNumId w:val="8"/>
  </w:num>
  <w:num w:numId="17" w16cid:durableId="1059595409">
    <w:abstractNumId w:val="16"/>
  </w:num>
  <w:num w:numId="18" w16cid:durableId="1613441731">
    <w:abstractNumId w:val="9"/>
  </w:num>
  <w:num w:numId="19" w16cid:durableId="1779761182">
    <w:abstractNumId w:val="3"/>
  </w:num>
  <w:num w:numId="20" w16cid:durableId="1188446581">
    <w:abstractNumId w:val="21"/>
  </w:num>
  <w:num w:numId="21" w16cid:durableId="270628065">
    <w:abstractNumId w:val="27"/>
  </w:num>
  <w:num w:numId="22" w16cid:durableId="456022080">
    <w:abstractNumId w:val="2"/>
  </w:num>
  <w:num w:numId="23" w16cid:durableId="1331447595">
    <w:abstractNumId w:val="23"/>
  </w:num>
  <w:num w:numId="24" w16cid:durableId="1800953981">
    <w:abstractNumId w:val="14"/>
  </w:num>
  <w:num w:numId="25" w16cid:durableId="377517078">
    <w:abstractNumId w:val="15"/>
  </w:num>
  <w:num w:numId="26" w16cid:durableId="7682336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87961380">
    <w:abstractNumId w:val="0"/>
  </w:num>
  <w:num w:numId="28" w16cid:durableId="5962084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C32"/>
    <w:rsid w:val="00000170"/>
    <w:rsid w:val="0000061E"/>
    <w:rsid w:val="00000BAF"/>
    <w:rsid w:val="000013A9"/>
    <w:rsid w:val="00001E4F"/>
    <w:rsid w:val="00002701"/>
    <w:rsid w:val="00002A60"/>
    <w:rsid w:val="000039AE"/>
    <w:rsid w:val="000047E9"/>
    <w:rsid w:val="00006465"/>
    <w:rsid w:val="00006B89"/>
    <w:rsid w:val="00007520"/>
    <w:rsid w:val="0001000A"/>
    <w:rsid w:val="0001048D"/>
    <w:rsid w:val="00010D53"/>
    <w:rsid w:val="00012071"/>
    <w:rsid w:val="0001217F"/>
    <w:rsid w:val="000124EB"/>
    <w:rsid w:val="000127E1"/>
    <w:rsid w:val="00012838"/>
    <w:rsid w:val="00012A68"/>
    <w:rsid w:val="00013963"/>
    <w:rsid w:val="00014E62"/>
    <w:rsid w:val="00016775"/>
    <w:rsid w:val="00017E0E"/>
    <w:rsid w:val="00017F48"/>
    <w:rsid w:val="00021A62"/>
    <w:rsid w:val="00021F6F"/>
    <w:rsid w:val="00021FC5"/>
    <w:rsid w:val="00025A2D"/>
    <w:rsid w:val="00027528"/>
    <w:rsid w:val="00027814"/>
    <w:rsid w:val="00030DCF"/>
    <w:rsid w:val="00031036"/>
    <w:rsid w:val="0003160B"/>
    <w:rsid w:val="000318C4"/>
    <w:rsid w:val="000320F1"/>
    <w:rsid w:val="00032CBC"/>
    <w:rsid w:val="000345D3"/>
    <w:rsid w:val="00035512"/>
    <w:rsid w:val="0004098D"/>
    <w:rsid w:val="000423EB"/>
    <w:rsid w:val="00044293"/>
    <w:rsid w:val="00044E44"/>
    <w:rsid w:val="00046ED9"/>
    <w:rsid w:val="000470B8"/>
    <w:rsid w:val="00050CDA"/>
    <w:rsid w:val="00052562"/>
    <w:rsid w:val="0005288F"/>
    <w:rsid w:val="000531FD"/>
    <w:rsid w:val="00053EBC"/>
    <w:rsid w:val="00054563"/>
    <w:rsid w:val="000549C3"/>
    <w:rsid w:val="00055053"/>
    <w:rsid w:val="00055973"/>
    <w:rsid w:val="00056495"/>
    <w:rsid w:val="00060626"/>
    <w:rsid w:val="00060814"/>
    <w:rsid w:val="00061C7E"/>
    <w:rsid w:val="000645C1"/>
    <w:rsid w:val="00064D94"/>
    <w:rsid w:val="000664C6"/>
    <w:rsid w:val="00066BD1"/>
    <w:rsid w:val="00066D92"/>
    <w:rsid w:val="00067AAA"/>
    <w:rsid w:val="00067D95"/>
    <w:rsid w:val="00071931"/>
    <w:rsid w:val="0007209D"/>
    <w:rsid w:val="000741F3"/>
    <w:rsid w:val="00074B9A"/>
    <w:rsid w:val="00076875"/>
    <w:rsid w:val="000775D1"/>
    <w:rsid w:val="00082CDD"/>
    <w:rsid w:val="000834C1"/>
    <w:rsid w:val="000839E1"/>
    <w:rsid w:val="00084195"/>
    <w:rsid w:val="0008496F"/>
    <w:rsid w:val="0008619A"/>
    <w:rsid w:val="0008697B"/>
    <w:rsid w:val="00087278"/>
    <w:rsid w:val="00087B70"/>
    <w:rsid w:val="000904D7"/>
    <w:rsid w:val="0009077B"/>
    <w:rsid w:val="00090F24"/>
    <w:rsid w:val="0009149F"/>
    <w:rsid w:val="0009162A"/>
    <w:rsid w:val="000916AE"/>
    <w:rsid w:val="00091C0D"/>
    <w:rsid w:val="00091E03"/>
    <w:rsid w:val="000926C5"/>
    <w:rsid w:val="00093754"/>
    <w:rsid w:val="00093B98"/>
    <w:rsid w:val="00094294"/>
    <w:rsid w:val="00094BD5"/>
    <w:rsid w:val="000959AA"/>
    <w:rsid w:val="000967B2"/>
    <w:rsid w:val="00096A89"/>
    <w:rsid w:val="000A2121"/>
    <w:rsid w:val="000A22CC"/>
    <w:rsid w:val="000A40E1"/>
    <w:rsid w:val="000A4CA9"/>
    <w:rsid w:val="000A7965"/>
    <w:rsid w:val="000B0170"/>
    <w:rsid w:val="000B1511"/>
    <w:rsid w:val="000B179D"/>
    <w:rsid w:val="000B182E"/>
    <w:rsid w:val="000B1E00"/>
    <w:rsid w:val="000B3309"/>
    <w:rsid w:val="000B38B9"/>
    <w:rsid w:val="000B7FE1"/>
    <w:rsid w:val="000C0D80"/>
    <w:rsid w:val="000C1F67"/>
    <w:rsid w:val="000C352C"/>
    <w:rsid w:val="000C45B1"/>
    <w:rsid w:val="000C4AEA"/>
    <w:rsid w:val="000C5C32"/>
    <w:rsid w:val="000C7C81"/>
    <w:rsid w:val="000D25B9"/>
    <w:rsid w:val="000D2EAD"/>
    <w:rsid w:val="000D375F"/>
    <w:rsid w:val="000D4FEF"/>
    <w:rsid w:val="000D50D4"/>
    <w:rsid w:val="000D5604"/>
    <w:rsid w:val="000D59E1"/>
    <w:rsid w:val="000E1EA8"/>
    <w:rsid w:val="000E3A50"/>
    <w:rsid w:val="000E4F7C"/>
    <w:rsid w:val="000E68D5"/>
    <w:rsid w:val="000E696F"/>
    <w:rsid w:val="000E7899"/>
    <w:rsid w:val="000F0099"/>
    <w:rsid w:val="000F0676"/>
    <w:rsid w:val="000F0C19"/>
    <w:rsid w:val="000F2CF1"/>
    <w:rsid w:val="000F4BAB"/>
    <w:rsid w:val="000F53BC"/>
    <w:rsid w:val="000F7850"/>
    <w:rsid w:val="0010018B"/>
    <w:rsid w:val="001005D4"/>
    <w:rsid w:val="00102294"/>
    <w:rsid w:val="00102EB1"/>
    <w:rsid w:val="00103600"/>
    <w:rsid w:val="0010365E"/>
    <w:rsid w:val="00104117"/>
    <w:rsid w:val="001043D6"/>
    <w:rsid w:val="00110407"/>
    <w:rsid w:val="00110BEF"/>
    <w:rsid w:val="00110EFD"/>
    <w:rsid w:val="00111466"/>
    <w:rsid w:val="001156E6"/>
    <w:rsid w:val="00115EFA"/>
    <w:rsid w:val="00116AFA"/>
    <w:rsid w:val="001210F1"/>
    <w:rsid w:val="001229FC"/>
    <w:rsid w:val="001230C9"/>
    <w:rsid w:val="0012350A"/>
    <w:rsid w:val="00123911"/>
    <w:rsid w:val="00123A1E"/>
    <w:rsid w:val="001245D2"/>
    <w:rsid w:val="0012485C"/>
    <w:rsid w:val="00125FED"/>
    <w:rsid w:val="00126B38"/>
    <w:rsid w:val="00130200"/>
    <w:rsid w:val="00130A94"/>
    <w:rsid w:val="00130FCB"/>
    <w:rsid w:val="00132262"/>
    <w:rsid w:val="00132312"/>
    <w:rsid w:val="00132F5B"/>
    <w:rsid w:val="001331A7"/>
    <w:rsid w:val="0013402C"/>
    <w:rsid w:val="001347F2"/>
    <w:rsid w:val="00135E48"/>
    <w:rsid w:val="001378F3"/>
    <w:rsid w:val="001406B1"/>
    <w:rsid w:val="001414A9"/>
    <w:rsid w:val="00141B2C"/>
    <w:rsid w:val="00143495"/>
    <w:rsid w:val="00143610"/>
    <w:rsid w:val="0014466D"/>
    <w:rsid w:val="001453FA"/>
    <w:rsid w:val="00145D9D"/>
    <w:rsid w:val="00146E5D"/>
    <w:rsid w:val="0014799F"/>
    <w:rsid w:val="00147F3C"/>
    <w:rsid w:val="00150055"/>
    <w:rsid w:val="001521E3"/>
    <w:rsid w:val="00152501"/>
    <w:rsid w:val="001527EB"/>
    <w:rsid w:val="00153375"/>
    <w:rsid w:val="00160732"/>
    <w:rsid w:val="0016193C"/>
    <w:rsid w:val="001627F7"/>
    <w:rsid w:val="0016338A"/>
    <w:rsid w:val="00163681"/>
    <w:rsid w:val="001638F4"/>
    <w:rsid w:val="001639A6"/>
    <w:rsid w:val="00163B43"/>
    <w:rsid w:val="00163D15"/>
    <w:rsid w:val="001641D6"/>
    <w:rsid w:val="001642FA"/>
    <w:rsid w:val="00164401"/>
    <w:rsid w:val="001655EF"/>
    <w:rsid w:val="00166A62"/>
    <w:rsid w:val="00170A85"/>
    <w:rsid w:val="00170D08"/>
    <w:rsid w:val="00170D35"/>
    <w:rsid w:val="00171355"/>
    <w:rsid w:val="00171FDF"/>
    <w:rsid w:val="00175C93"/>
    <w:rsid w:val="00176407"/>
    <w:rsid w:val="00176EE9"/>
    <w:rsid w:val="00177BC9"/>
    <w:rsid w:val="00181667"/>
    <w:rsid w:val="00183729"/>
    <w:rsid w:val="00183BCC"/>
    <w:rsid w:val="001856A8"/>
    <w:rsid w:val="0018664B"/>
    <w:rsid w:val="00187542"/>
    <w:rsid w:val="00190350"/>
    <w:rsid w:val="0019336E"/>
    <w:rsid w:val="00193D22"/>
    <w:rsid w:val="001947D5"/>
    <w:rsid w:val="00194BB5"/>
    <w:rsid w:val="00195509"/>
    <w:rsid w:val="00196676"/>
    <w:rsid w:val="001973E0"/>
    <w:rsid w:val="00197A63"/>
    <w:rsid w:val="001A00CF"/>
    <w:rsid w:val="001A18E7"/>
    <w:rsid w:val="001A22E9"/>
    <w:rsid w:val="001A2ECB"/>
    <w:rsid w:val="001A3A83"/>
    <w:rsid w:val="001A46E8"/>
    <w:rsid w:val="001A495E"/>
    <w:rsid w:val="001A64AC"/>
    <w:rsid w:val="001A6554"/>
    <w:rsid w:val="001B0781"/>
    <w:rsid w:val="001B0C60"/>
    <w:rsid w:val="001B150F"/>
    <w:rsid w:val="001B2685"/>
    <w:rsid w:val="001B28A8"/>
    <w:rsid w:val="001B37BF"/>
    <w:rsid w:val="001B37E8"/>
    <w:rsid w:val="001B66F5"/>
    <w:rsid w:val="001C0224"/>
    <w:rsid w:val="001C07BE"/>
    <w:rsid w:val="001C1389"/>
    <w:rsid w:val="001C37DF"/>
    <w:rsid w:val="001C3F2A"/>
    <w:rsid w:val="001C47D0"/>
    <w:rsid w:val="001C7749"/>
    <w:rsid w:val="001C7963"/>
    <w:rsid w:val="001D00C1"/>
    <w:rsid w:val="001D02AD"/>
    <w:rsid w:val="001D0E20"/>
    <w:rsid w:val="001D13D7"/>
    <w:rsid w:val="001D203C"/>
    <w:rsid w:val="001D2754"/>
    <w:rsid w:val="001D306C"/>
    <w:rsid w:val="001D3DF7"/>
    <w:rsid w:val="001D6ED4"/>
    <w:rsid w:val="001E30A8"/>
    <w:rsid w:val="001E3D68"/>
    <w:rsid w:val="001E3FF9"/>
    <w:rsid w:val="001E44CC"/>
    <w:rsid w:val="001E6BAF"/>
    <w:rsid w:val="001E716B"/>
    <w:rsid w:val="001E7389"/>
    <w:rsid w:val="001E76FA"/>
    <w:rsid w:val="001F0423"/>
    <w:rsid w:val="001F0BAB"/>
    <w:rsid w:val="001F0E60"/>
    <w:rsid w:val="001F1EC7"/>
    <w:rsid w:val="001F2079"/>
    <w:rsid w:val="001F2428"/>
    <w:rsid w:val="001F3555"/>
    <w:rsid w:val="001F4C1D"/>
    <w:rsid w:val="001F4E8C"/>
    <w:rsid w:val="001F4EB5"/>
    <w:rsid w:val="001F4ECC"/>
    <w:rsid w:val="001F704B"/>
    <w:rsid w:val="00200730"/>
    <w:rsid w:val="00202491"/>
    <w:rsid w:val="002029D9"/>
    <w:rsid w:val="00203237"/>
    <w:rsid w:val="00205724"/>
    <w:rsid w:val="00205AB1"/>
    <w:rsid w:val="00206D1C"/>
    <w:rsid w:val="00206DB9"/>
    <w:rsid w:val="002078B3"/>
    <w:rsid w:val="00211A91"/>
    <w:rsid w:val="0021381E"/>
    <w:rsid w:val="0021498F"/>
    <w:rsid w:val="00215965"/>
    <w:rsid w:val="00217B48"/>
    <w:rsid w:val="00220615"/>
    <w:rsid w:val="002231E7"/>
    <w:rsid w:val="002232B5"/>
    <w:rsid w:val="00223456"/>
    <w:rsid w:val="00224E6E"/>
    <w:rsid w:val="00225926"/>
    <w:rsid w:val="00225C68"/>
    <w:rsid w:val="0022662D"/>
    <w:rsid w:val="00230D02"/>
    <w:rsid w:val="00232731"/>
    <w:rsid w:val="002329AC"/>
    <w:rsid w:val="00232CBB"/>
    <w:rsid w:val="0023418D"/>
    <w:rsid w:val="0023476D"/>
    <w:rsid w:val="00234AE5"/>
    <w:rsid w:val="00234AF8"/>
    <w:rsid w:val="00235AF2"/>
    <w:rsid w:val="00235C33"/>
    <w:rsid w:val="00235EFF"/>
    <w:rsid w:val="00236569"/>
    <w:rsid w:val="00236943"/>
    <w:rsid w:val="00236CDD"/>
    <w:rsid w:val="00237ECA"/>
    <w:rsid w:val="0024331C"/>
    <w:rsid w:val="002461BE"/>
    <w:rsid w:val="00246C70"/>
    <w:rsid w:val="00247AAE"/>
    <w:rsid w:val="00250C21"/>
    <w:rsid w:val="002512EF"/>
    <w:rsid w:val="002515F3"/>
    <w:rsid w:val="00252613"/>
    <w:rsid w:val="00252C0E"/>
    <w:rsid w:val="00252E27"/>
    <w:rsid w:val="002537FB"/>
    <w:rsid w:val="00253D5F"/>
    <w:rsid w:val="00253F25"/>
    <w:rsid w:val="002541A0"/>
    <w:rsid w:val="002544B4"/>
    <w:rsid w:val="00255208"/>
    <w:rsid w:val="00256296"/>
    <w:rsid w:val="00260022"/>
    <w:rsid w:val="002621F8"/>
    <w:rsid w:val="00264E92"/>
    <w:rsid w:val="0026508A"/>
    <w:rsid w:val="00266EBD"/>
    <w:rsid w:val="002671CA"/>
    <w:rsid w:val="00272BE5"/>
    <w:rsid w:val="00274FFE"/>
    <w:rsid w:val="0027512F"/>
    <w:rsid w:val="00275538"/>
    <w:rsid w:val="002765FF"/>
    <w:rsid w:val="00277718"/>
    <w:rsid w:val="00277EAA"/>
    <w:rsid w:val="00280191"/>
    <w:rsid w:val="00280519"/>
    <w:rsid w:val="00281B35"/>
    <w:rsid w:val="00282523"/>
    <w:rsid w:val="0028349D"/>
    <w:rsid w:val="00285AB1"/>
    <w:rsid w:val="00285C87"/>
    <w:rsid w:val="00286633"/>
    <w:rsid w:val="002871DA"/>
    <w:rsid w:val="002871FF"/>
    <w:rsid w:val="0029034A"/>
    <w:rsid w:val="0029137D"/>
    <w:rsid w:val="0029146B"/>
    <w:rsid w:val="00297112"/>
    <w:rsid w:val="002A0D64"/>
    <w:rsid w:val="002A187B"/>
    <w:rsid w:val="002A2511"/>
    <w:rsid w:val="002A4E38"/>
    <w:rsid w:val="002A51C9"/>
    <w:rsid w:val="002A5ECA"/>
    <w:rsid w:val="002A6231"/>
    <w:rsid w:val="002A638A"/>
    <w:rsid w:val="002A6CAB"/>
    <w:rsid w:val="002B0EA9"/>
    <w:rsid w:val="002B1774"/>
    <w:rsid w:val="002B1B42"/>
    <w:rsid w:val="002B32FA"/>
    <w:rsid w:val="002B6BD8"/>
    <w:rsid w:val="002B7959"/>
    <w:rsid w:val="002C1BAC"/>
    <w:rsid w:val="002C1C07"/>
    <w:rsid w:val="002C2759"/>
    <w:rsid w:val="002D1E58"/>
    <w:rsid w:val="002D45D2"/>
    <w:rsid w:val="002D4875"/>
    <w:rsid w:val="002D515E"/>
    <w:rsid w:val="002D646F"/>
    <w:rsid w:val="002E0953"/>
    <w:rsid w:val="002E59F5"/>
    <w:rsid w:val="002E5C39"/>
    <w:rsid w:val="002E6AB7"/>
    <w:rsid w:val="002E72AF"/>
    <w:rsid w:val="002F0D6D"/>
    <w:rsid w:val="002F20AB"/>
    <w:rsid w:val="002F31BC"/>
    <w:rsid w:val="002F324C"/>
    <w:rsid w:val="002F397E"/>
    <w:rsid w:val="002F39C8"/>
    <w:rsid w:val="002F5D41"/>
    <w:rsid w:val="002F5E39"/>
    <w:rsid w:val="002F666D"/>
    <w:rsid w:val="002F6978"/>
    <w:rsid w:val="002F6FBE"/>
    <w:rsid w:val="002F7415"/>
    <w:rsid w:val="002F7668"/>
    <w:rsid w:val="00301572"/>
    <w:rsid w:val="003016BF"/>
    <w:rsid w:val="00301B3F"/>
    <w:rsid w:val="00301F60"/>
    <w:rsid w:val="003027E7"/>
    <w:rsid w:val="00303B5A"/>
    <w:rsid w:val="00303F32"/>
    <w:rsid w:val="00304404"/>
    <w:rsid w:val="00306212"/>
    <w:rsid w:val="003077ED"/>
    <w:rsid w:val="00307FFB"/>
    <w:rsid w:val="00310E13"/>
    <w:rsid w:val="003121B6"/>
    <w:rsid w:val="00312E45"/>
    <w:rsid w:val="00312F6D"/>
    <w:rsid w:val="00315E34"/>
    <w:rsid w:val="00317474"/>
    <w:rsid w:val="00317FA1"/>
    <w:rsid w:val="003207A4"/>
    <w:rsid w:val="00322721"/>
    <w:rsid w:val="00323320"/>
    <w:rsid w:val="00323A33"/>
    <w:rsid w:val="00324835"/>
    <w:rsid w:val="00325564"/>
    <w:rsid w:val="00325D06"/>
    <w:rsid w:val="00326815"/>
    <w:rsid w:val="00330925"/>
    <w:rsid w:val="00331597"/>
    <w:rsid w:val="003342B5"/>
    <w:rsid w:val="0033441E"/>
    <w:rsid w:val="003358C8"/>
    <w:rsid w:val="003360AA"/>
    <w:rsid w:val="003378C2"/>
    <w:rsid w:val="00340887"/>
    <w:rsid w:val="00341364"/>
    <w:rsid w:val="00341EF6"/>
    <w:rsid w:val="0034427A"/>
    <w:rsid w:val="00345A07"/>
    <w:rsid w:val="003464C3"/>
    <w:rsid w:val="003469D1"/>
    <w:rsid w:val="003471B2"/>
    <w:rsid w:val="00347536"/>
    <w:rsid w:val="003502AD"/>
    <w:rsid w:val="00351627"/>
    <w:rsid w:val="00351968"/>
    <w:rsid w:val="003530AA"/>
    <w:rsid w:val="0036349D"/>
    <w:rsid w:val="003647F1"/>
    <w:rsid w:val="00364B1C"/>
    <w:rsid w:val="00365612"/>
    <w:rsid w:val="00367D4E"/>
    <w:rsid w:val="00370137"/>
    <w:rsid w:val="003703E3"/>
    <w:rsid w:val="00370442"/>
    <w:rsid w:val="0037178F"/>
    <w:rsid w:val="00374E65"/>
    <w:rsid w:val="00375263"/>
    <w:rsid w:val="00375B6A"/>
    <w:rsid w:val="00375E38"/>
    <w:rsid w:val="00376C6A"/>
    <w:rsid w:val="00377580"/>
    <w:rsid w:val="003804BC"/>
    <w:rsid w:val="00380561"/>
    <w:rsid w:val="00380AFF"/>
    <w:rsid w:val="003816B8"/>
    <w:rsid w:val="00381ECE"/>
    <w:rsid w:val="00383188"/>
    <w:rsid w:val="003839C6"/>
    <w:rsid w:val="00384F30"/>
    <w:rsid w:val="003872F5"/>
    <w:rsid w:val="003874FD"/>
    <w:rsid w:val="0039060F"/>
    <w:rsid w:val="003A1832"/>
    <w:rsid w:val="003A1C17"/>
    <w:rsid w:val="003A5058"/>
    <w:rsid w:val="003A535D"/>
    <w:rsid w:val="003A55B1"/>
    <w:rsid w:val="003A5A56"/>
    <w:rsid w:val="003A6318"/>
    <w:rsid w:val="003A66B2"/>
    <w:rsid w:val="003A68E1"/>
    <w:rsid w:val="003A71E6"/>
    <w:rsid w:val="003A71E7"/>
    <w:rsid w:val="003B0170"/>
    <w:rsid w:val="003B0426"/>
    <w:rsid w:val="003B04CC"/>
    <w:rsid w:val="003B0D90"/>
    <w:rsid w:val="003B105F"/>
    <w:rsid w:val="003B1208"/>
    <w:rsid w:val="003B1BAD"/>
    <w:rsid w:val="003B2279"/>
    <w:rsid w:val="003B46F5"/>
    <w:rsid w:val="003B4E80"/>
    <w:rsid w:val="003C0FB6"/>
    <w:rsid w:val="003C25F4"/>
    <w:rsid w:val="003C307B"/>
    <w:rsid w:val="003C324E"/>
    <w:rsid w:val="003C4885"/>
    <w:rsid w:val="003C5691"/>
    <w:rsid w:val="003C72CC"/>
    <w:rsid w:val="003C7956"/>
    <w:rsid w:val="003C7A6E"/>
    <w:rsid w:val="003D06A9"/>
    <w:rsid w:val="003D0898"/>
    <w:rsid w:val="003D0B86"/>
    <w:rsid w:val="003D113C"/>
    <w:rsid w:val="003D46B3"/>
    <w:rsid w:val="003D6A56"/>
    <w:rsid w:val="003D755D"/>
    <w:rsid w:val="003E1119"/>
    <w:rsid w:val="003E3D5A"/>
    <w:rsid w:val="003E3D83"/>
    <w:rsid w:val="003E4023"/>
    <w:rsid w:val="003E4C8D"/>
    <w:rsid w:val="003E4DBF"/>
    <w:rsid w:val="003E61F8"/>
    <w:rsid w:val="003E706E"/>
    <w:rsid w:val="003F0366"/>
    <w:rsid w:val="003F11DB"/>
    <w:rsid w:val="003F210B"/>
    <w:rsid w:val="003F3DB7"/>
    <w:rsid w:val="003F5DAE"/>
    <w:rsid w:val="0040182A"/>
    <w:rsid w:val="00401B6C"/>
    <w:rsid w:val="004032A3"/>
    <w:rsid w:val="00403550"/>
    <w:rsid w:val="004041D5"/>
    <w:rsid w:val="00404207"/>
    <w:rsid w:val="004043A9"/>
    <w:rsid w:val="00406609"/>
    <w:rsid w:val="00411551"/>
    <w:rsid w:val="0041185F"/>
    <w:rsid w:val="0041293C"/>
    <w:rsid w:val="00412E25"/>
    <w:rsid w:val="00413B4D"/>
    <w:rsid w:val="00414146"/>
    <w:rsid w:val="0041421E"/>
    <w:rsid w:val="00415372"/>
    <w:rsid w:val="004160F1"/>
    <w:rsid w:val="00416A53"/>
    <w:rsid w:val="00416F57"/>
    <w:rsid w:val="004172ED"/>
    <w:rsid w:val="00423740"/>
    <w:rsid w:val="00424DB6"/>
    <w:rsid w:val="00425D7F"/>
    <w:rsid w:val="00426270"/>
    <w:rsid w:val="004262E2"/>
    <w:rsid w:val="00431820"/>
    <w:rsid w:val="004320BA"/>
    <w:rsid w:val="00432F5C"/>
    <w:rsid w:val="00435292"/>
    <w:rsid w:val="004353DB"/>
    <w:rsid w:val="00436308"/>
    <w:rsid w:val="00436E34"/>
    <w:rsid w:val="00437204"/>
    <w:rsid w:val="0044019E"/>
    <w:rsid w:val="0044139E"/>
    <w:rsid w:val="00441748"/>
    <w:rsid w:val="00442089"/>
    <w:rsid w:val="0044260A"/>
    <w:rsid w:val="0044294E"/>
    <w:rsid w:val="004429DA"/>
    <w:rsid w:val="00442B7F"/>
    <w:rsid w:val="00442E47"/>
    <w:rsid w:val="00445B87"/>
    <w:rsid w:val="00447ED3"/>
    <w:rsid w:val="00450338"/>
    <w:rsid w:val="00451555"/>
    <w:rsid w:val="00453710"/>
    <w:rsid w:val="00453AF2"/>
    <w:rsid w:val="0045556D"/>
    <w:rsid w:val="00456008"/>
    <w:rsid w:val="0045615B"/>
    <w:rsid w:val="004568B6"/>
    <w:rsid w:val="00456C37"/>
    <w:rsid w:val="00456E33"/>
    <w:rsid w:val="004619E5"/>
    <w:rsid w:val="00463E65"/>
    <w:rsid w:val="00464D23"/>
    <w:rsid w:val="004666CC"/>
    <w:rsid w:val="004666F9"/>
    <w:rsid w:val="00466998"/>
    <w:rsid w:val="0047049F"/>
    <w:rsid w:val="004707BD"/>
    <w:rsid w:val="00472480"/>
    <w:rsid w:val="00472AC3"/>
    <w:rsid w:val="00473B18"/>
    <w:rsid w:val="00474504"/>
    <w:rsid w:val="00474A67"/>
    <w:rsid w:val="00474FCB"/>
    <w:rsid w:val="00477774"/>
    <w:rsid w:val="00477967"/>
    <w:rsid w:val="0048008A"/>
    <w:rsid w:val="004814BC"/>
    <w:rsid w:val="00482502"/>
    <w:rsid w:val="004827B9"/>
    <w:rsid w:val="004827FD"/>
    <w:rsid w:val="00483407"/>
    <w:rsid w:val="004860BC"/>
    <w:rsid w:val="00486BC3"/>
    <w:rsid w:val="004903CB"/>
    <w:rsid w:val="004910A1"/>
    <w:rsid w:val="004912A0"/>
    <w:rsid w:val="0049144B"/>
    <w:rsid w:val="00491543"/>
    <w:rsid w:val="0049188E"/>
    <w:rsid w:val="00491C3D"/>
    <w:rsid w:val="004933D6"/>
    <w:rsid w:val="00494363"/>
    <w:rsid w:val="0049519B"/>
    <w:rsid w:val="004954CC"/>
    <w:rsid w:val="0049585B"/>
    <w:rsid w:val="004967A0"/>
    <w:rsid w:val="00496906"/>
    <w:rsid w:val="00496D13"/>
    <w:rsid w:val="00497B9C"/>
    <w:rsid w:val="00497CB9"/>
    <w:rsid w:val="004A2015"/>
    <w:rsid w:val="004A4E70"/>
    <w:rsid w:val="004A74F7"/>
    <w:rsid w:val="004A78C8"/>
    <w:rsid w:val="004B100C"/>
    <w:rsid w:val="004B17DB"/>
    <w:rsid w:val="004B2FE1"/>
    <w:rsid w:val="004B3BE8"/>
    <w:rsid w:val="004B3FF8"/>
    <w:rsid w:val="004B4896"/>
    <w:rsid w:val="004B657C"/>
    <w:rsid w:val="004C015E"/>
    <w:rsid w:val="004C0CAF"/>
    <w:rsid w:val="004C144B"/>
    <w:rsid w:val="004C24B8"/>
    <w:rsid w:val="004C2874"/>
    <w:rsid w:val="004C6AA4"/>
    <w:rsid w:val="004D0025"/>
    <w:rsid w:val="004D020C"/>
    <w:rsid w:val="004D2CFB"/>
    <w:rsid w:val="004D311E"/>
    <w:rsid w:val="004D39D7"/>
    <w:rsid w:val="004D4BB8"/>
    <w:rsid w:val="004D5FB7"/>
    <w:rsid w:val="004D6DC1"/>
    <w:rsid w:val="004D7736"/>
    <w:rsid w:val="004D7784"/>
    <w:rsid w:val="004E3E38"/>
    <w:rsid w:val="004E44FF"/>
    <w:rsid w:val="004E5026"/>
    <w:rsid w:val="004E588D"/>
    <w:rsid w:val="004E5C7D"/>
    <w:rsid w:val="004F03A1"/>
    <w:rsid w:val="004F12A7"/>
    <w:rsid w:val="004F1F31"/>
    <w:rsid w:val="004F2E56"/>
    <w:rsid w:val="004F4821"/>
    <w:rsid w:val="004F61F4"/>
    <w:rsid w:val="004F67D1"/>
    <w:rsid w:val="00500717"/>
    <w:rsid w:val="00500D85"/>
    <w:rsid w:val="00501EFC"/>
    <w:rsid w:val="005021D1"/>
    <w:rsid w:val="00502976"/>
    <w:rsid w:val="00503D36"/>
    <w:rsid w:val="005057CD"/>
    <w:rsid w:val="00505E41"/>
    <w:rsid w:val="0050709E"/>
    <w:rsid w:val="00507C07"/>
    <w:rsid w:val="00510391"/>
    <w:rsid w:val="00513EC0"/>
    <w:rsid w:val="005142C6"/>
    <w:rsid w:val="00514385"/>
    <w:rsid w:val="00515C80"/>
    <w:rsid w:val="00517C7A"/>
    <w:rsid w:val="005200F8"/>
    <w:rsid w:val="00520100"/>
    <w:rsid w:val="005205BA"/>
    <w:rsid w:val="00520D33"/>
    <w:rsid w:val="005211CF"/>
    <w:rsid w:val="00523B6F"/>
    <w:rsid w:val="0052438A"/>
    <w:rsid w:val="005243B5"/>
    <w:rsid w:val="00524EDC"/>
    <w:rsid w:val="00525471"/>
    <w:rsid w:val="0052575B"/>
    <w:rsid w:val="00525F39"/>
    <w:rsid w:val="00526D8F"/>
    <w:rsid w:val="00530567"/>
    <w:rsid w:val="00531504"/>
    <w:rsid w:val="00531594"/>
    <w:rsid w:val="00531A68"/>
    <w:rsid w:val="00531F5F"/>
    <w:rsid w:val="005321C0"/>
    <w:rsid w:val="00533F50"/>
    <w:rsid w:val="00534655"/>
    <w:rsid w:val="00536101"/>
    <w:rsid w:val="005371CE"/>
    <w:rsid w:val="00537419"/>
    <w:rsid w:val="00537698"/>
    <w:rsid w:val="0054064A"/>
    <w:rsid w:val="00540AC2"/>
    <w:rsid w:val="00540BBF"/>
    <w:rsid w:val="005421C9"/>
    <w:rsid w:val="005421CC"/>
    <w:rsid w:val="00544842"/>
    <w:rsid w:val="00546299"/>
    <w:rsid w:val="005475C2"/>
    <w:rsid w:val="005478D6"/>
    <w:rsid w:val="00547CCA"/>
    <w:rsid w:val="005507D3"/>
    <w:rsid w:val="0055085C"/>
    <w:rsid w:val="00550C6F"/>
    <w:rsid w:val="0055127A"/>
    <w:rsid w:val="00553CE9"/>
    <w:rsid w:val="00555A92"/>
    <w:rsid w:val="00561475"/>
    <w:rsid w:val="00561951"/>
    <w:rsid w:val="00561B2A"/>
    <w:rsid w:val="00561D27"/>
    <w:rsid w:val="005621DF"/>
    <w:rsid w:val="005624F6"/>
    <w:rsid w:val="00567A88"/>
    <w:rsid w:val="00570202"/>
    <w:rsid w:val="0057179A"/>
    <w:rsid w:val="00572794"/>
    <w:rsid w:val="00572A47"/>
    <w:rsid w:val="005736C7"/>
    <w:rsid w:val="00574591"/>
    <w:rsid w:val="00574D28"/>
    <w:rsid w:val="005767D2"/>
    <w:rsid w:val="005768EE"/>
    <w:rsid w:val="00576C76"/>
    <w:rsid w:val="00577259"/>
    <w:rsid w:val="00577C00"/>
    <w:rsid w:val="005801B5"/>
    <w:rsid w:val="00580969"/>
    <w:rsid w:val="00593862"/>
    <w:rsid w:val="00593ED7"/>
    <w:rsid w:val="005953F5"/>
    <w:rsid w:val="00597F24"/>
    <w:rsid w:val="005A0199"/>
    <w:rsid w:val="005A0B53"/>
    <w:rsid w:val="005A0C00"/>
    <w:rsid w:val="005A1A1A"/>
    <w:rsid w:val="005A1D25"/>
    <w:rsid w:val="005A22B3"/>
    <w:rsid w:val="005A230A"/>
    <w:rsid w:val="005A2D5F"/>
    <w:rsid w:val="005A4FB6"/>
    <w:rsid w:val="005A5811"/>
    <w:rsid w:val="005A5C50"/>
    <w:rsid w:val="005A6214"/>
    <w:rsid w:val="005A71AC"/>
    <w:rsid w:val="005B125F"/>
    <w:rsid w:val="005B18DF"/>
    <w:rsid w:val="005B561D"/>
    <w:rsid w:val="005B74EE"/>
    <w:rsid w:val="005C0378"/>
    <w:rsid w:val="005C0AAA"/>
    <w:rsid w:val="005C19FC"/>
    <w:rsid w:val="005C235A"/>
    <w:rsid w:val="005C406E"/>
    <w:rsid w:val="005C5612"/>
    <w:rsid w:val="005C564B"/>
    <w:rsid w:val="005C5F55"/>
    <w:rsid w:val="005C672E"/>
    <w:rsid w:val="005C6BD3"/>
    <w:rsid w:val="005C6E99"/>
    <w:rsid w:val="005C70C9"/>
    <w:rsid w:val="005D1634"/>
    <w:rsid w:val="005D32AF"/>
    <w:rsid w:val="005D32E1"/>
    <w:rsid w:val="005D33CD"/>
    <w:rsid w:val="005D3545"/>
    <w:rsid w:val="005D35CB"/>
    <w:rsid w:val="005D4BB5"/>
    <w:rsid w:val="005E1262"/>
    <w:rsid w:val="005E40D5"/>
    <w:rsid w:val="005E4D49"/>
    <w:rsid w:val="005E50A6"/>
    <w:rsid w:val="005E580F"/>
    <w:rsid w:val="005E6084"/>
    <w:rsid w:val="005E6F6E"/>
    <w:rsid w:val="005E73F5"/>
    <w:rsid w:val="005E7411"/>
    <w:rsid w:val="005F06E9"/>
    <w:rsid w:val="005F1EED"/>
    <w:rsid w:val="005F24B0"/>
    <w:rsid w:val="005F416F"/>
    <w:rsid w:val="005F4C0E"/>
    <w:rsid w:val="005F57BD"/>
    <w:rsid w:val="005F6CE2"/>
    <w:rsid w:val="005F71B9"/>
    <w:rsid w:val="005F71D7"/>
    <w:rsid w:val="00600D0F"/>
    <w:rsid w:val="00605F63"/>
    <w:rsid w:val="006069C1"/>
    <w:rsid w:val="00606C47"/>
    <w:rsid w:val="00607C02"/>
    <w:rsid w:val="00612785"/>
    <w:rsid w:val="0061287E"/>
    <w:rsid w:val="006146CD"/>
    <w:rsid w:val="00614932"/>
    <w:rsid w:val="00615705"/>
    <w:rsid w:val="006169E4"/>
    <w:rsid w:val="00622895"/>
    <w:rsid w:val="00623D43"/>
    <w:rsid w:val="00626EB1"/>
    <w:rsid w:val="0062793C"/>
    <w:rsid w:val="00627FAB"/>
    <w:rsid w:val="00630A9C"/>
    <w:rsid w:val="00630F54"/>
    <w:rsid w:val="00632B0D"/>
    <w:rsid w:val="00632F04"/>
    <w:rsid w:val="00635578"/>
    <w:rsid w:val="00635A9D"/>
    <w:rsid w:val="00637CA7"/>
    <w:rsid w:val="006405BA"/>
    <w:rsid w:val="00641695"/>
    <w:rsid w:val="00641713"/>
    <w:rsid w:val="00642F2B"/>
    <w:rsid w:val="00643EA9"/>
    <w:rsid w:val="00644DA9"/>
    <w:rsid w:val="00646957"/>
    <w:rsid w:val="00647AC4"/>
    <w:rsid w:val="00647C78"/>
    <w:rsid w:val="006509A8"/>
    <w:rsid w:val="00652240"/>
    <w:rsid w:val="006528AC"/>
    <w:rsid w:val="0065293B"/>
    <w:rsid w:val="00652B36"/>
    <w:rsid w:val="00657B4D"/>
    <w:rsid w:val="006678B3"/>
    <w:rsid w:val="00670C16"/>
    <w:rsid w:val="00672B87"/>
    <w:rsid w:val="00675232"/>
    <w:rsid w:val="006756DE"/>
    <w:rsid w:val="00676FC7"/>
    <w:rsid w:val="006778F4"/>
    <w:rsid w:val="006779C1"/>
    <w:rsid w:val="00677A9D"/>
    <w:rsid w:val="00680BAF"/>
    <w:rsid w:val="00681C5F"/>
    <w:rsid w:val="00681FD9"/>
    <w:rsid w:val="006827DD"/>
    <w:rsid w:val="00682C8C"/>
    <w:rsid w:val="00685C85"/>
    <w:rsid w:val="00686DC6"/>
    <w:rsid w:val="0069046D"/>
    <w:rsid w:val="00693873"/>
    <w:rsid w:val="006947EC"/>
    <w:rsid w:val="0069550B"/>
    <w:rsid w:val="00695734"/>
    <w:rsid w:val="006963AD"/>
    <w:rsid w:val="00697347"/>
    <w:rsid w:val="006A05A2"/>
    <w:rsid w:val="006A064D"/>
    <w:rsid w:val="006A0880"/>
    <w:rsid w:val="006A0D9A"/>
    <w:rsid w:val="006A0F44"/>
    <w:rsid w:val="006A3A05"/>
    <w:rsid w:val="006A3A09"/>
    <w:rsid w:val="006A3EA8"/>
    <w:rsid w:val="006A426E"/>
    <w:rsid w:val="006A4286"/>
    <w:rsid w:val="006A4849"/>
    <w:rsid w:val="006A672F"/>
    <w:rsid w:val="006B1169"/>
    <w:rsid w:val="006B11D6"/>
    <w:rsid w:val="006B2321"/>
    <w:rsid w:val="006B344A"/>
    <w:rsid w:val="006B349F"/>
    <w:rsid w:val="006B36CB"/>
    <w:rsid w:val="006B41B1"/>
    <w:rsid w:val="006B6103"/>
    <w:rsid w:val="006B629E"/>
    <w:rsid w:val="006C3DE3"/>
    <w:rsid w:val="006C4E97"/>
    <w:rsid w:val="006C6ABA"/>
    <w:rsid w:val="006C7487"/>
    <w:rsid w:val="006D2775"/>
    <w:rsid w:val="006D40C6"/>
    <w:rsid w:val="006D5511"/>
    <w:rsid w:val="006D58E2"/>
    <w:rsid w:val="006D6349"/>
    <w:rsid w:val="006D6888"/>
    <w:rsid w:val="006D699C"/>
    <w:rsid w:val="006E2752"/>
    <w:rsid w:val="006E28A4"/>
    <w:rsid w:val="006E40FF"/>
    <w:rsid w:val="006E60D2"/>
    <w:rsid w:val="006E7739"/>
    <w:rsid w:val="006F0C77"/>
    <w:rsid w:val="006F0EC8"/>
    <w:rsid w:val="006F282A"/>
    <w:rsid w:val="006F2DD0"/>
    <w:rsid w:val="006F3473"/>
    <w:rsid w:val="006F385A"/>
    <w:rsid w:val="006F5972"/>
    <w:rsid w:val="006F70A7"/>
    <w:rsid w:val="006F748D"/>
    <w:rsid w:val="006F7BD2"/>
    <w:rsid w:val="00700869"/>
    <w:rsid w:val="00700932"/>
    <w:rsid w:val="00702B9F"/>
    <w:rsid w:val="00702DD0"/>
    <w:rsid w:val="00702E30"/>
    <w:rsid w:val="007047E2"/>
    <w:rsid w:val="00704F53"/>
    <w:rsid w:val="00705DE2"/>
    <w:rsid w:val="00706AB1"/>
    <w:rsid w:val="0070711B"/>
    <w:rsid w:val="0070752C"/>
    <w:rsid w:val="00707A18"/>
    <w:rsid w:val="00712751"/>
    <w:rsid w:val="00712901"/>
    <w:rsid w:val="0071343C"/>
    <w:rsid w:val="007140BF"/>
    <w:rsid w:val="007142AF"/>
    <w:rsid w:val="00714CCC"/>
    <w:rsid w:val="00714F23"/>
    <w:rsid w:val="007151E9"/>
    <w:rsid w:val="00716B4C"/>
    <w:rsid w:val="007172AE"/>
    <w:rsid w:val="00717740"/>
    <w:rsid w:val="00720111"/>
    <w:rsid w:val="007208C3"/>
    <w:rsid w:val="00722372"/>
    <w:rsid w:val="007223DE"/>
    <w:rsid w:val="00722708"/>
    <w:rsid w:val="00722738"/>
    <w:rsid w:val="00723477"/>
    <w:rsid w:val="00723D67"/>
    <w:rsid w:val="00723DCD"/>
    <w:rsid w:val="007241AA"/>
    <w:rsid w:val="007247AB"/>
    <w:rsid w:val="0072507E"/>
    <w:rsid w:val="00726C2B"/>
    <w:rsid w:val="00727332"/>
    <w:rsid w:val="007308B8"/>
    <w:rsid w:val="0073160F"/>
    <w:rsid w:val="00731E53"/>
    <w:rsid w:val="00732616"/>
    <w:rsid w:val="007327F6"/>
    <w:rsid w:val="00732AE9"/>
    <w:rsid w:val="00733560"/>
    <w:rsid w:val="0073515B"/>
    <w:rsid w:val="00735A85"/>
    <w:rsid w:val="00736588"/>
    <w:rsid w:val="00740733"/>
    <w:rsid w:val="00740A33"/>
    <w:rsid w:val="007416C2"/>
    <w:rsid w:val="007417BE"/>
    <w:rsid w:val="00741E45"/>
    <w:rsid w:val="00742FB4"/>
    <w:rsid w:val="0074376E"/>
    <w:rsid w:val="00743EC6"/>
    <w:rsid w:val="007454A2"/>
    <w:rsid w:val="00746935"/>
    <w:rsid w:val="00754AA2"/>
    <w:rsid w:val="00754ADD"/>
    <w:rsid w:val="00756190"/>
    <w:rsid w:val="00756883"/>
    <w:rsid w:val="007573F2"/>
    <w:rsid w:val="00757A13"/>
    <w:rsid w:val="00757EBB"/>
    <w:rsid w:val="00760A59"/>
    <w:rsid w:val="007618EB"/>
    <w:rsid w:val="00761AA5"/>
    <w:rsid w:val="0076534E"/>
    <w:rsid w:val="00765FAA"/>
    <w:rsid w:val="00767929"/>
    <w:rsid w:val="007728DF"/>
    <w:rsid w:val="0077383E"/>
    <w:rsid w:val="00773971"/>
    <w:rsid w:val="00775E5C"/>
    <w:rsid w:val="00777031"/>
    <w:rsid w:val="007771B4"/>
    <w:rsid w:val="00780CC9"/>
    <w:rsid w:val="007811DC"/>
    <w:rsid w:val="0078338C"/>
    <w:rsid w:val="00786A25"/>
    <w:rsid w:val="00787E86"/>
    <w:rsid w:val="007907A1"/>
    <w:rsid w:val="00790F4D"/>
    <w:rsid w:val="0079367F"/>
    <w:rsid w:val="00793735"/>
    <w:rsid w:val="0079508B"/>
    <w:rsid w:val="00796D3F"/>
    <w:rsid w:val="007A03C7"/>
    <w:rsid w:val="007A203D"/>
    <w:rsid w:val="007A427B"/>
    <w:rsid w:val="007A6820"/>
    <w:rsid w:val="007B135A"/>
    <w:rsid w:val="007B23BA"/>
    <w:rsid w:val="007B280F"/>
    <w:rsid w:val="007B2B8F"/>
    <w:rsid w:val="007B4346"/>
    <w:rsid w:val="007B4872"/>
    <w:rsid w:val="007B4D66"/>
    <w:rsid w:val="007B58DC"/>
    <w:rsid w:val="007B7923"/>
    <w:rsid w:val="007C00B0"/>
    <w:rsid w:val="007C075E"/>
    <w:rsid w:val="007C0767"/>
    <w:rsid w:val="007C0D3A"/>
    <w:rsid w:val="007C2C59"/>
    <w:rsid w:val="007C3D30"/>
    <w:rsid w:val="007C53CA"/>
    <w:rsid w:val="007C5E02"/>
    <w:rsid w:val="007C609C"/>
    <w:rsid w:val="007D1375"/>
    <w:rsid w:val="007D42AA"/>
    <w:rsid w:val="007D43A3"/>
    <w:rsid w:val="007D4576"/>
    <w:rsid w:val="007D4E7D"/>
    <w:rsid w:val="007D4F76"/>
    <w:rsid w:val="007D66F5"/>
    <w:rsid w:val="007D7ECA"/>
    <w:rsid w:val="007E0FA0"/>
    <w:rsid w:val="007E1A70"/>
    <w:rsid w:val="007E1C64"/>
    <w:rsid w:val="007E26A3"/>
    <w:rsid w:val="007E3210"/>
    <w:rsid w:val="007E3CE7"/>
    <w:rsid w:val="007E4291"/>
    <w:rsid w:val="007E6249"/>
    <w:rsid w:val="007F083D"/>
    <w:rsid w:val="007F097F"/>
    <w:rsid w:val="007F0FD9"/>
    <w:rsid w:val="007F19DD"/>
    <w:rsid w:val="007F1EC7"/>
    <w:rsid w:val="007F2301"/>
    <w:rsid w:val="007F3178"/>
    <w:rsid w:val="007F4482"/>
    <w:rsid w:val="007F4716"/>
    <w:rsid w:val="007F497A"/>
    <w:rsid w:val="007F4BBE"/>
    <w:rsid w:val="007F4C33"/>
    <w:rsid w:val="007F59C6"/>
    <w:rsid w:val="007F614D"/>
    <w:rsid w:val="007F6239"/>
    <w:rsid w:val="007F66CB"/>
    <w:rsid w:val="007F6B61"/>
    <w:rsid w:val="007F7405"/>
    <w:rsid w:val="00801989"/>
    <w:rsid w:val="008022E2"/>
    <w:rsid w:val="00802AF9"/>
    <w:rsid w:val="00802D4F"/>
    <w:rsid w:val="00803A1F"/>
    <w:rsid w:val="00803B83"/>
    <w:rsid w:val="0080430E"/>
    <w:rsid w:val="00804EAC"/>
    <w:rsid w:val="008052E1"/>
    <w:rsid w:val="008073BC"/>
    <w:rsid w:val="00807841"/>
    <w:rsid w:val="0081160E"/>
    <w:rsid w:val="00811620"/>
    <w:rsid w:val="00811A20"/>
    <w:rsid w:val="00812632"/>
    <w:rsid w:val="00812BA2"/>
    <w:rsid w:val="00812F2A"/>
    <w:rsid w:val="008138F8"/>
    <w:rsid w:val="00814A92"/>
    <w:rsid w:val="00815465"/>
    <w:rsid w:val="0081577B"/>
    <w:rsid w:val="00815804"/>
    <w:rsid w:val="00815E14"/>
    <w:rsid w:val="008165C8"/>
    <w:rsid w:val="00817CD2"/>
    <w:rsid w:val="008208AD"/>
    <w:rsid w:val="00821EA6"/>
    <w:rsid w:val="0082238D"/>
    <w:rsid w:val="0082261A"/>
    <w:rsid w:val="0082318A"/>
    <w:rsid w:val="0082400C"/>
    <w:rsid w:val="008243F9"/>
    <w:rsid w:val="00824F7F"/>
    <w:rsid w:val="00826182"/>
    <w:rsid w:val="00827E24"/>
    <w:rsid w:val="00830444"/>
    <w:rsid w:val="00830E36"/>
    <w:rsid w:val="0083252A"/>
    <w:rsid w:val="0083290F"/>
    <w:rsid w:val="00832CC4"/>
    <w:rsid w:val="00833A8E"/>
    <w:rsid w:val="008343BB"/>
    <w:rsid w:val="008349B0"/>
    <w:rsid w:val="008360AD"/>
    <w:rsid w:val="008378F2"/>
    <w:rsid w:val="008415A2"/>
    <w:rsid w:val="0084170D"/>
    <w:rsid w:val="008420B2"/>
    <w:rsid w:val="00844091"/>
    <w:rsid w:val="00844704"/>
    <w:rsid w:val="008477A7"/>
    <w:rsid w:val="00847CE1"/>
    <w:rsid w:val="00847E15"/>
    <w:rsid w:val="0085224B"/>
    <w:rsid w:val="008529E9"/>
    <w:rsid w:val="00853C6B"/>
    <w:rsid w:val="00854EB7"/>
    <w:rsid w:val="008553C1"/>
    <w:rsid w:val="00856892"/>
    <w:rsid w:val="008574BE"/>
    <w:rsid w:val="00861CA4"/>
    <w:rsid w:val="00861EDD"/>
    <w:rsid w:val="00863D1F"/>
    <w:rsid w:val="00863FB2"/>
    <w:rsid w:val="00864022"/>
    <w:rsid w:val="008655BD"/>
    <w:rsid w:val="008665ED"/>
    <w:rsid w:val="00866B5B"/>
    <w:rsid w:val="0087346B"/>
    <w:rsid w:val="00873E26"/>
    <w:rsid w:val="008745DC"/>
    <w:rsid w:val="00877EA2"/>
    <w:rsid w:val="008811C5"/>
    <w:rsid w:val="00882FA7"/>
    <w:rsid w:val="008841E8"/>
    <w:rsid w:val="00884416"/>
    <w:rsid w:val="00884C49"/>
    <w:rsid w:val="008851A0"/>
    <w:rsid w:val="008867F0"/>
    <w:rsid w:val="008875A9"/>
    <w:rsid w:val="00890407"/>
    <w:rsid w:val="00890978"/>
    <w:rsid w:val="008922CD"/>
    <w:rsid w:val="00892CB3"/>
    <w:rsid w:val="00892D38"/>
    <w:rsid w:val="00892DE4"/>
    <w:rsid w:val="0089316C"/>
    <w:rsid w:val="0089398A"/>
    <w:rsid w:val="00894F39"/>
    <w:rsid w:val="00895CB1"/>
    <w:rsid w:val="00896382"/>
    <w:rsid w:val="008963C7"/>
    <w:rsid w:val="00897F67"/>
    <w:rsid w:val="008A1A89"/>
    <w:rsid w:val="008A3216"/>
    <w:rsid w:val="008A50FB"/>
    <w:rsid w:val="008A6AFE"/>
    <w:rsid w:val="008A73A5"/>
    <w:rsid w:val="008B324A"/>
    <w:rsid w:val="008B3B6B"/>
    <w:rsid w:val="008B475D"/>
    <w:rsid w:val="008B486B"/>
    <w:rsid w:val="008B5302"/>
    <w:rsid w:val="008B58A1"/>
    <w:rsid w:val="008B7E0B"/>
    <w:rsid w:val="008C0000"/>
    <w:rsid w:val="008C02E3"/>
    <w:rsid w:val="008C3F65"/>
    <w:rsid w:val="008C4D89"/>
    <w:rsid w:val="008C5F59"/>
    <w:rsid w:val="008C6441"/>
    <w:rsid w:val="008C6C00"/>
    <w:rsid w:val="008C78BF"/>
    <w:rsid w:val="008D1176"/>
    <w:rsid w:val="008D1D6B"/>
    <w:rsid w:val="008D2C23"/>
    <w:rsid w:val="008D3156"/>
    <w:rsid w:val="008D438B"/>
    <w:rsid w:val="008D4DF5"/>
    <w:rsid w:val="008D59D4"/>
    <w:rsid w:val="008D5EEF"/>
    <w:rsid w:val="008D6F8C"/>
    <w:rsid w:val="008D7E33"/>
    <w:rsid w:val="008E0DCA"/>
    <w:rsid w:val="008E1028"/>
    <w:rsid w:val="008E24FD"/>
    <w:rsid w:val="008E3B20"/>
    <w:rsid w:val="008E5F64"/>
    <w:rsid w:val="008E6449"/>
    <w:rsid w:val="008E705B"/>
    <w:rsid w:val="008E7CF5"/>
    <w:rsid w:val="008F24E8"/>
    <w:rsid w:val="008F2F66"/>
    <w:rsid w:val="008F4250"/>
    <w:rsid w:val="008F4C46"/>
    <w:rsid w:val="008F51F9"/>
    <w:rsid w:val="008F5958"/>
    <w:rsid w:val="008F6D9D"/>
    <w:rsid w:val="008F73C7"/>
    <w:rsid w:val="008F75FC"/>
    <w:rsid w:val="0090045A"/>
    <w:rsid w:val="009005EA"/>
    <w:rsid w:val="00901CF0"/>
    <w:rsid w:val="00903F5C"/>
    <w:rsid w:val="009043A5"/>
    <w:rsid w:val="009047D5"/>
    <w:rsid w:val="0090536A"/>
    <w:rsid w:val="009055B8"/>
    <w:rsid w:val="00907A1C"/>
    <w:rsid w:val="009102D8"/>
    <w:rsid w:val="009109F1"/>
    <w:rsid w:val="009119BE"/>
    <w:rsid w:val="0091550E"/>
    <w:rsid w:val="00915C4C"/>
    <w:rsid w:val="00915E9B"/>
    <w:rsid w:val="00916A7A"/>
    <w:rsid w:val="00917717"/>
    <w:rsid w:val="00917FA7"/>
    <w:rsid w:val="009201E9"/>
    <w:rsid w:val="0092036D"/>
    <w:rsid w:val="00920C8B"/>
    <w:rsid w:val="009233BE"/>
    <w:rsid w:val="009239D3"/>
    <w:rsid w:val="009265D7"/>
    <w:rsid w:val="009267B7"/>
    <w:rsid w:val="00930B08"/>
    <w:rsid w:val="0093134B"/>
    <w:rsid w:val="00931571"/>
    <w:rsid w:val="00931C7E"/>
    <w:rsid w:val="0093220E"/>
    <w:rsid w:val="00933C35"/>
    <w:rsid w:val="00934759"/>
    <w:rsid w:val="00937B81"/>
    <w:rsid w:val="0094065F"/>
    <w:rsid w:val="00941915"/>
    <w:rsid w:val="00941DE0"/>
    <w:rsid w:val="00943E97"/>
    <w:rsid w:val="00944968"/>
    <w:rsid w:val="00944D90"/>
    <w:rsid w:val="0095036C"/>
    <w:rsid w:val="009511B5"/>
    <w:rsid w:val="00952118"/>
    <w:rsid w:val="00954C85"/>
    <w:rsid w:val="00955147"/>
    <w:rsid w:val="00955B8C"/>
    <w:rsid w:val="00955D57"/>
    <w:rsid w:val="00957E15"/>
    <w:rsid w:val="0096076C"/>
    <w:rsid w:val="00960BE6"/>
    <w:rsid w:val="00961DC3"/>
    <w:rsid w:val="00963AD7"/>
    <w:rsid w:val="009651C6"/>
    <w:rsid w:val="009664B3"/>
    <w:rsid w:val="009667A1"/>
    <w:rsid w:val="00971DFB"/>
    <w:rsid w:val="00971F10"/>
    <w:rsid w:val="00973158"/>
    <w:rsid w:val="00976E54"/>
    <w:rsid w:val="00977161"/>
    <w:rsid w:val="00977E5B"/>
    <w:rsid w:val="00980477"/>
    <w:rsid w:val="00980AC6"/>
    <w:rsid w:val="00980FD2"/>
    <w:rsid w:val="009818AE"/>
    <w:rsid w:val="00983921"/>
    <w:rsid w:val="00984ED5"/>
    <w:rsid w:val="00985107"/>
    <w:rsid w:val="009865A0"/>
    <w:rsid w:val="00987846"/>
    <w:rsid w:val="00987BB2"/>
    <w:rsid w:val="0099099D"/>
    <w:rsid w:val="00990B33"/>
    <w:rsid w:val="00992520"/>
    <w:rsid w:val="009941E3"/>
    <w:rsid w:val="0099590D"/>
    <w:rsid w:val="0099613C"/>
    <w:rsid w:val="009A0D5D"/>
    <w:rsid w:val="009A1223"/>
    <w:rsid w:val="009A3E7C"/>
    <w:rsid w:val="009A4CC0"/>
    <w:rsid w:val="009A6B3A"/>
    <w:rsid w:val="009A713E"/>
    <w:rsid w:val="009B0EDB"/>
    <w:rsid w:val="009B0FE2"/>
    <w:rsid w:val="009B1BFB"/>
    <w:rsid w:val="009B3826"/>
    <w:rsid w:val="009B597D"/>
    <w:rsid w:val="009B7D86"/>
    <w:rsid w:val="009B7F1D"/>
    <w:rsid w:val="009C1B25"/>
    <w:rsid w:val="009C1EC3"/>
    <w:rsid w:val="009C2135"/>
    <w:rsid w:val="009C2D7C"/>
    <w:rsid w:val="009C36FF"/>
    <w:rsid w:val="009C41A2"/>
    <w:rsid w:val="009C4DDB"/>
    <w:rsid w:val="009C6850"/>
    <w:rsid w:val="009C74AB"/>
    <w:rsid w:val="009C7553"/>
    <w:rsid w:val="009D0748"/>
    <w:rsid w:val="009D1D0B"/>
    <w:rsid w:val="009D3A08"/>
    <w:rsid w:val="009D5422"/>
    <w:rsid w:val="009D68CA"/>
    <w:rsid w:val="009D6C15"/>
    <w:rsid w:val="009E042A"/>
    <w:rsid w:val="009E0532"/>
    <w:rsid w:val="009E0661"/>
    <w:rsid w:val="009E071B"/>
    <w:rsid w:val="009E2F41"/>
    <w:rsid w:val="009E3CDA"/>
    <w:rsid w:val="009E4500"/>
    <w:rsid w:val="009E5E01"/>
    <w:rsid w:val="009F0D07"/>
    <w:rsid w:val="009F11E8"/>
    <w:rsid w:val="009F1402"/>
    <w:rsid w:val="009F1672"/>
    <w:rsid w:val="009F39C0"/>
    <w:rsid w:val="009F53CB"/>
    <w:rsid w:val="009F59B2"/>
    <w:rsid w:val="009F6953"/>
    <w:rsid w:val="009F7D26"/>
    <w:rsid w:val="00A007C9"/>
    <w:rsid w:val="00A02DBF"/>
    <w:rsid w:val="00A04B95"/>
    <w:rsid w:val="00A05F5A"/>
    <w:rsid w:val="00A068C7"/>
    <w:rsid w:val="00A07602"/>
    <w:rsid w:val="00A1093C"/>
    <w:rsid w:val="00A10FF9"/>
    <w:rsid w:val="00A11100"/>
    <w:rsid w:val="00A1131D"/>
    <w:rsid w:val="00A142A6"/>
    <w:rsid w:val="00A15A1B"/>
    <w:rsid w:val="00A17DBC"/>
    <w:rsid w:val="00A20BD9"/>
    <w:rsid w:val="00A226BE"/>
    <w:rsid w:val="00A23611"/>
    <w:rsid w:val="00A2364E"/>
    <w:rsid w:val="00A239B9"/>
    <w:rsid w:val="00A23DCC"/>
    <w:rsid w:val="00A26BD8"/>
    <w:rsid w:val="00A2783B"/>
    <w:rsid w:val="00A27FD7"/>
    <w:rsid w:val="00A27FFA"/>
    <w:rsid w:val="00A3115D"/>
    <w:rsid w:val="00A31BB9"/>
    <w:rsid w:val="00A32D65"/>
    <w:rsid w:val="00A32F58"/>
    <w:rsid w:val="00A35901"/>
    <w:rsid w:val="00A35C62"/>
    <w:rsid w:val="00A36A7C"/>
    <w:rsid w:val="00A36C3D"/>
    <w:rsid w:val="00A36F78"/>
    <w:rsid w:val="00A4035B"/>
    <w:rsid w:val="00A428D1"/>
    <w:rsid w:val="00A4301E"/>
    <w:rsid w:val="00A4443B"/>
    <w:rsid w:val="00A44D62"/>
    <w:rsid w:val="00A44E18"/>
    <w:rsid w:val="00A45246"/>
    <w:rsid w:val="00A4618B"/>
    <w:rsid w:val="00A46195"/>
    <w:rsid w:val="00A516E5"/>
    <w:rsid w:val="00A52A65"/>
    <w:rsid w:val="00A52E6E"/>
    <w:rsid w:val="00A52ECD"/>
    <w:rsid w:val="00A52F84"/>
    <w:rsid w:val="00A5381C"/>
    <w:rsid w:val="00A5477C"/>
    <w:rsid w:val="00A56615"/>
    <w:rsid w:val="00A5669B"/>
    <w:rsid w:val="00A622DA"/>
    <w:rsid w:val="00A658FC"/>
    <w:rsid w:val="00A67819"/>
    <w:rsid w:val="00A70D71"/>
    <w:rsid w:val="00A7146F"/>
    <w:rsid w:val="00A73731"/>
    <w:rsid w:val="00A740D5"/>
    <w:rsid w:val="00A746F2"/>
    <w:rsid w:val="00A74F23"/>
    <w:rsid w:val="00A764AE"/>
    <w:rsid w:val="00A76A30"/>
    <w:rsid w:val="00A76ECC"/>
    <w:rsid w:val="00A77514"/>
    <w:rsid w:val="00A80433"/>
    <w:rsid w:val="00A81CBC"/>
    <w:rsid w:val="00A82329"/>
    <w:rsid w:val="00A82A1A"/>
    <w:rsid w:val="00A83817"/>
    <w:rsid w:val="00A8429B"/>
    <w:rsid w:val="00A84C90"/>
    <w:rsid w:val="00A84ED4"/>
    <w:rsid w:val="00A85DCF"/>
    <w:rsid w:val="00A87A25"/>
    <w:rsid w:val="00A90E86"/>
    <w:rsid w:val="00A910CB"/>
    <w:rsid w:val="00A91265"/>
    <w:rsid w:val="00A91BCB"/>
    <w:rsid w:val="00A93A49"/>
    <w:rsid w:val="00A941A0"/>
    <w:rsid w:val="00A95449"/>
    <w:rsid w:val="00A96B61"/>
    <w:rsid w:val="00AA512E"/>
    <w:rsid w:val="00AB0A58"/>
    <w:rsid w:val="00AB104F"/>
    <w:rsid w:val="00AB10A9"/>
    <w:rsid w:val="00AB19C6"/>
    <w:rsid w:val="00AB1C99"/>
    <w:rsid w:val="00AB238E"/>
    <w:rsid w:val="00AB2AFB"/>
    <w:rsid w:val="00AB39B8"/>
    <w:rsid w:val="00AB411F"/>
    <w:rsid w:val="00AB45A8"/>
    <w:rsid w:val="00AB48AD"/>
    <w:rsid w:val="00AB547B"/>
    <w:rsid w:val="00AB57A2"/>
    <w:rsid w:val="00AB59FF"/>
    <w:rsid w:val="00AB5D3C"/>
    <w:rsid w:val="00AB66CB"/>
    <w:rsid w:val="00AC052A"/>
    <w:rsid w:val="00AC13FE"/>
    <w:rsid w:val="00AC2EC8"/>
    <w:rsid w:val="00AC372E"/>
    <w:rsid w:val="00AC6076"/>
    <w:rsid w:val="00AC7EAF"/>
    <w:rsid w:val="00AD17FA"/>
    <w:rsid w:val="00AD1D97"/>
    <w:rsid w:val="00AD1DAB"/>
    <w:rsid w:val="00AD25FB"/>
    <w:rsid w:val="00AD2E3E"/>
    <w:rsid w:val="00AD4C5E"/>
    <w:rsid w:val="00AD5404"/>
    <w:rsid w:val="00AD61C4"/>
    <w:rsid w:val="00AD6D25"/>
    <w:rsid w:val="00AD71E7"/>
    <w:rsid w:val="00AD7503"/>
    <w:rsid w:val="00AD7B0F"/>
    <w:rsid w:val="00AD7F81"/>
    <w:rsid w:val="00AE3575"/>
    <w:rsid w:val="00AE3EA3"/>
    <w:rsid w:val="00AE4757"/>
    <w:rsid w:val="00AE6D88"/>
    <w:rsid w:val="00AF0894"/>
    <w:rsid w:val="00AF1BAB"/>
    <w:rsid w:val="00AF1C01"/>
    <w:rsid w:val="00AF2633"/>
    <w:rsid w:val="00AF2F46"/>
    <w:rsid w:val="00AF3311"/>
    <w:rsid w:val="00AF373A"/>
    <w:rsid w:val="00AF479F"/>
    <w:rsid w:val="00AF55F6"/>
    <w:rsid w:val="00AF725C"/>
    <w:rsid w:val="00B00010"/>
    <w:rsid w:val="00B00A94"/>
    <w:rsid w:val="00B02E71"/>
    <w:rsid w:val="00B0498C"/>
    <w:rsid w:val="00B05AC9"/>
    <w:rsid w:val="00B069EE"/>
    <w:rsid w:val="00B078C7"/>
    <w:rsid w:val="00B07FF1"/>
    <w:rsid w:val="00B108B0"/>
    <w:rsid w:val="00B10F65"/>
    <w:rsid w:val="00B11383"/>
    <w:rsid w:val="00B11DB0"/>
    <w:rsid w:val="00B11F8B"/>
    <w:rsid w:val="00B12190"/>
    <w:rsid w:val="00B171A3"/>
    <w:rsid w:val="00B22E63"/>
    <w:rsid w:val="00B243BE"/>
    <w:rsid w:val="00B252B5"/>
    <w:rsid w:val="00B31342"/>
    <w:rsid w:val="00B33381"/>
    <w:rsid w:val="00B33920"/>
    <w:rsid w:val="00B35190"/>
    <w:rsid w:val="00B3697A"/>
    <w:rsid w:val="00B36C62"/>
    <w:rsid w:val="00B36F1E"/>
    <w:rsid w:val="00B37200"/>
    <w:rsid w:val="00B375DC"/>
    <w:rsid w:val="00B376D2"/>
    <w:rsid w:val="00B40031"/>
    <w:rsid w:val="00B4031D"/>
    <w:rsid w:val="00B408D6"/>
    <w:rsid w:val="00B416F6"/>
    <w:rsid w:val="00B4197B"/>
    <w:rsid w:val="00B4340A"/>
    <w:rsid w:val="00B43938"/>
    <w:rsid w:val="00B456FB"/>
    <w:rsid w:val="00B45DE1"/>
    <w:rsid w:val="00B45F6E"/>
    <w:rsid w:val="00B46D3D"/>
    <w:rsid w:val="00B47868"/>
    <w:rsid w:val="00B5006D"/>
    <w:rsid w:val="00B50D76"/>
    <w:rsid w:val="00B51911"/>
    <w:rsid w:val="00B53ACA"/>
    <w:rsid w:val="00B54D3E"/>
    <w:rsid w:val="00B55FE7"/>
    <w:rsid w:val="00B5644E"/>
    <w:rsid w:val="00B6034F"/>
    <w:rsid w:val="00B614B6"/>
    <w:rsid w:val="00B63962"/>
    <w:rsid w:val="00B64673"/>
    <w:rsid w:val="00B6535F"/>
    <w:rsid w:val="00B6575F"/>
    <w:rsid w:val="00B675B0"/>
    <w:rsid w:val="00B67795"/>
    <w:rsid w:val="00B700B0"/>
    <w:rsid w:val="00B70809"/>
    <w:rsid w:val="00B726BA"/>
    <w:rsid w:val="00B72A96"/>
    <w:rsid w:val="00B748E2"/>
    <w:rsid w:val="00B75F3B"/>
    <w:rsid w:val="00B77099"/>
    <w:rsid w:val="00B82110"/>
    <w:rsid w:val="00B83992"/>
    <w:rsid w:val="00B841D1"/>
    <w:rsid w:val="00B84A56"/>
    <w:rsid w:val="00B8631C"/>
    <w:rsid w:val="00B86AFE"/>
    <w:rsid w:val="00B90BD4"/>
    <w:rsid w:val="00B90D3E"/>
    <w:rsid w:val="00B91570"/>
    <w:rsid w:val="00B91C0F"/>
    <w:rsid w:val="00B93CBD"/>
    <w:rsid w:val="00B94A84"/>
    <w:rsid w:val="00B964FC"/>
    <w:rsid w:val="00B97425"/>
    <w:rsid w:val="00B979BD"/>
    <w:rsid w:val="00BA0551"/>
    <w:rsid w:val="00BA0FDC"/>
    <w:rsid w:val="00BA4D44"/>
    <w:rsid w:val="00BA54F8"/>
    <w:rsid w:val="00BA5B30"/>
    <w:rsid w:val="00BA6624"/>
    <w:rsid w:val="00BA6975"/>
    <w:rsid w:val="00BA699F"/>
    <w:rsid w:val="00BA6B60"/>
    <w:rsid w:val="00BA6E37"/>
    <w:rsid w:val="00BB062B"/>
    <w:rsid w:val="00BB08D6"/>
    <w:rsid w:val="00BB0BB8"/>
    <w:rsid w:val="00BB115A"/>
    <w:rsid w:val="00BB131F"/>
    <w:rsid w:val="00BB13C1"/>
    <w:rsid w:val="00BB449D"/>
    <w:rsid w:val="00BB4ED4"/>
    <w:rsid w:val="00BB703A"/>
    <w:rsid w:val="00BC1C2B"/>
    <w:rsid w:val="00BC21B0"/>
    <w:rsid w:val="00BC32F8"/>
    <w:rsid w:val="00BC354D"/>
    <w:rsid w:val="00BC44ED"/>
    <w:rsid w:val="00BC490D"/>
    <w:rsid w:val="00BC697E"/>
    <w:rsid w:val="00BC6E9A"/>
    <w:rsid w:val="00BC7AA2"/>
    <w:rsid w:val="00BD0380"/>
    <w:rsid w:val="00BD07D1"/>
    <w:rsid w:val="00BD15A8"/>
    <w:rsid w:val="00BD2E80"/>
    <w:rsid w:val="00BD4780"/>
    <w:rsid w:val="00BD4A34"/>
    <w:rsid w:val="00BD5CB2"/>
    <w:rsid w:val="00BD7017"/>
    <w:rsid w:val="00BD7247"/>
    <w:rsid w:val="00BE130E"/>
    <w:rsid w:val="00BE1376"/>
    <w:rsid w:val="00BE1FCB"/>
    <w:rsid w:val="00BE2B84"/>
    <w:rsid w:val="00BE33BC"/>
    <w:rsid w:val="00BE518D"/>
    <w:rsid w:val="00BE6902"/>
    <w:rsid w:val="00BE6D6D"/>
    <w:rsid w:val="00BF09CA"/>
    <w:rsid w:val="00BF106E"/>
    <w:rsid w:val="00BF1CBC"/>
    <w:rsid w:val="00BF2110"/>
    <w:rsid w:val="00BF33E3"/>
    <w:rsid w:val="00BF3511"/>
    <w:rsid w:val="00BF51F5"/>
    <w:rsid w:val="00BF5324"/>
    <w:rsid w:val="00BF6227"/>
    <w:rsid w:val="00BF6B2D"/>
    <w:rsid w:val="00BF7EFB"/>
    <w:rsid w:val="00C019F5"/>
    <w:rsid w:val="00C03136"/>
    <w:rsid w:val="00C033AB"/>
    <w:rsid w:val="00C04696"/>
    <w:rsid w:val="00C064E2"/>
    <w:rsid w:val="00C109C2"/>
    <w:rsid w:val="00C10FB4"/>
    <w:rsid w:val="00C11BE7"/>
    <w:rsid w:val="00C124C6"/>
    <w:rsid w:val="00C125AE"/>
    <w:rsid w:val="00C1305C"/>
    <w:rsid w:val="00C13B10"/>
    <w:rsid w:val="00C1696A"/>
    <w:rsid w:val="00C1722A"/>
    <w:rsid w:val="00C2117A"/>
    <w:rsid w:val="00C2157A"/>
    <w:rsid w:val="00C21E46"/>
    <w:rsid w:val="00C22557"/>
    <w:rsid w:val="00C22BD8"/>
    <w:rsid w:val="00C24669"/>
    <w:rsid w:val="00C25712"/>
    <w:rsid w:val="00C25BAA"/>
    <w:rsid w:val="00C279AE"/>
    <w:rsid w:val="00C30DDB"/>
    <w:rsid w:val="00C31E7E"/>
    <w:rsid w:val="00C33B50"/>
    <w:rsid w:val="00C34904"/>
    <w:rsid w:val="00C36DA7"/>
    <w:rsid w:val="00C37529"/>
    <w:rsid w:val="00C40354"/>
    <w:rsid w:val="00C40830"/>
    <w:rsid w:val="00C408AD"/>
    <w:rsid w:val="00C40970"/>
    <w:rsid w:val="00C41862"/>
    <w:rsid w:val="00C418FB"/>
    <w:rsid w:val="00C41A63"/>
    <w:rsid w:val="00C42566"/>
    <w:rsid w:val="00C4370D"/>
    <w:rsid w:val="00C43B36"/>
    <w:rsid w:val="00C44627"/>
    <w:rsid w:val="00C45860"/>
    <w:rsid w:val="00C46C4A"/>
    <w:rsid w:val="00C471EE"/>
    <w:rsid w:val="00C503C2"/>
    <w:rsid w:val="00C54014"/>
    <w:rsid w:val="00C5544B"/>
    <w:rsid w:val="00C55FC1"/>
    <w:rsid w:val="00C60CE9"/>
    <w:rsid w:val="00C6181C"/>
    <w:rsid w:val="00C6181D"/>
    <w:rsid w:val="00C619FF"/>
    <w:rsid w:val="00C61BE0"/>
    <w:rsid w:val="00C62B94"/>
    <w:rsid w:val="00C632B3"/>
    <w:rsid w:val="00C63859"/>
    <w:rsid w:val="00C63C8B"/>
    <w:rsid w:val="00C6592C"/>
    <w:rsid w:val="00C65BA3"/>
    <w:rsid w:val="00C660BD"/>
    <w:rsid w:val="00C66D1D"/>
    <w:rsid w:val="00C67CFD"/>
    <w:rsid w:val="00C67E63"/>
    <w:rsid w:val="00C721C1"/>
    <w:rsid w:val="00C72550"/>
    <w:rsid w:val="00C72D9C"/>
    <w:rsid w:val="00C72DE3"/>
    <w:rsid w:val="00C75029"/>
    <w:rsid w:val="00C80252"/>
    <w:rsid w:val="00C8027C"/>
    <w:rsid w:val="00C80837"/>
    <w:rsid w:val="00C80C82"/>
    <w:rsid w:val="00C8130D"/>
    <w:rsid w:val="00C814DA"/>
    <w:rsid w:val="00C822B9"/>
    <w:rsid w:val="00C825A6"/>
    <w:rsid w:val="00C82D75"/>
    <w:rsid w:val="00C85374"/>
    <w:rsid w:val="00C85ABC"/>
    <w:rsid w:val="00C85FA9"/>
    <w:rsid w:val="00C86F17"/>
    <w:rsid w:val="00C87ACC"/>
    <w:rsid w:val="00C9060A"/>
    <w:rsid w:val="00C911FA"/>
    <w:rsid w:val="00C93C14"/>
    <w:rsid w:val="00C93D05"/>
    <w:rsid w:val="00C9538B"/>
    <w:rsid w:val="00C96AA2"/>
    <w:rsid w:val="00C97F0B"/>
    <w:rsid w:val="00CA0D52"/>
    <w:rsid w:val="00CA1C6F"/>
    <w:rsid w:val="00CA267A"/>
    <w:rsid w:val="00CA2A2F"/>
    <w:rsid w:val="00CA2D35"/>
    <w:rsid w:val="00CA394F"/>
    <w:rsid w:val="00CA50D1"/>
    <w:rsid w:val="00CA5766"/>
    <w:rsid w:val="00CA6ACA"/>
    <w:rsid w:val="00CA7906"/>
    <w:rsid w:val="00CB0E84"/>
    <w:rsid w:val="00CB0EED"/>
    <w:rsid w:val="00CB1639"/>
    <w:rsid w:val="00CB2208"/>
    <w:rsid w:val="00CB26C0"/>
    <w:rsid w:val="00CB27C4"/>
    <w:rsid w:val="00CB2B15"/>
    <w:rsid w:val="00CB34DC"/>
    <w:rsid w:val="00CB3E2D"/>
    <w:rsid w:val="00CC016D"/>
    <w:rsid w:val="00CC0300"/>
    <w:rsid w:val="00CC04AA"/>
    <w:rsid w:val="00CC2B18"/>
    <w:rsid w:val="00CC2B99"/>
    <w:rsid w:val="00CC61B2"/>
    <w:rsid w:val="00CC7BAF"/>
    <w:rsid w:val="00CD0933"/>
    <w:rsid w:val="00CD100A"/>
    <w:rsid w:val="00CD1AB2"/>
    <w:rsid w:val="00CD365E"/>
    <w:rsid w:val="00CD38EF"/>
    <w:rsid w:val="00CD3BE1"/>
    <w:rsid w:val="00CD4482"/>
    <w:rsid w:val="00CD487E"/>
    <w:rsid w:val="00CD5628"/>
    <w:rsid w:val="00CD6A7E"/>
    <w:rsid w:val="00CE1DC0"/>
    <w:rsid w:val="00CE1E78"/>
    <w:rsid w:val="00CE2562"/>
    <w:rsid w:val="00CE2964"/>
    <w:rsid w:val="00CE2AFE"/>
    <w:rsid w:val="00CE3155"/>
    <w:rsid w:val="00CE40F0"/>
    <w:rsid w:val="00CE4605"/>
    <w:rsid w:val="00CE5526"/>
    <w:rsid w:val="00CE5896"/>
    <w:rsid w:val="00CE761A"/>
    <w:rsid w:val="00CE777A"/>
    <w:rsid w:val="00CE7C3F"/>
    <w:rsid w:val="00CF017D"/>
    <w:rsid w:val="00CF059C"/>
    <w:rsid w:val="00CF0E75"/>
    <w:rsid w:val="00CF2185"/>
    <w:rsid w:val="00CF54DC"/>
    <w:rsid w:val="00CF66C8"/>
    <w:rsid w:val="00D0138A"/>
    <w:rsid w:val="00D0156B"/>
    <w:rsid w:val="00D02A5D"/>
    <w:rsid w:val="00D03DAD"/>
    <w:rsid w:val="00D03E66"/>
    <w:rsid w:val="00D05D1E"/>
    <w:rsid w:val="00D0611A"/>
    <w:rsid w:val="00D06A7D"/>
    <w:rsid w:val="00D1123B"/>
    <w:rsid w:val="00D11EE1"/>
    <w:rsid w:val="00D11F7F"/>
    <w:rsid w:val="00D12FF5"/>
    <w:rsid w:val="00D13219"/>
    <w:rsid w:val="00D13373"/>
    <w:rsid w:val="00D13596"/>
    <w:rsid w:val="00D13CD0"/>
    <w:rsid w:val="00D1419E"/>
    <w:rsid w:val="00D14392"/>
    <w:rsid w:val="00D15DE1"/>
    <w:rsid w:val="00D20D86"/>
    <w:rsid w:val="00D21E97"/>
    <w:rsid w:val="00D23CBB"/>
    <w:rsid w:val="00D23E88"/>
    <w:rsid w:val="00D26C97"/>
    <w:rsid w:val="00D27C42"/>
    <w:rsid w:val="00D30738"/>
    <w:rsid w:val="00D30977"/>
    <w:rsid w:val="00D313BC"/>
    <w:rsid w:val="00D3178A"/>
    <w:rsid w:val="00D32117"/>
    <w:rsid w:val="00D33173"/>
    <w:rsid w:val="00D33C1E"/>
    <w:rsid w:val="00D347DA"/>
    <w:rsid w:val="00D35528"/>
    <w:rsid w:val="00D356F9"/>
    <w:rsid w:val="00D36F98"/>
    <w:rsid w:val="00D405DF"/>
    <w:rsid w:val="00D41E5D"/>
    <w:rsid w:val="00D43191"/>
    <w:rsid w:val="00D431A1"/>
    <w:rsid w:val="00D43FA9"/>
    <w:rsid w:val="00D47C20"/>
    <w:rsid w:val="00D52363"/>
    <w:rsid w:val="00D52398"/>
    <w:rsid w:val="00D540C7"/>
    <w:rsid w:val="00D56F1C"/>
    <w:rsid w:val="00D57BE8"/>
    <w:rsid w:val="00D64589"/>
    <w:rsid w:val="00D6482F"/>
    <w:rsid w:val="00D65D77"/>
    <w:rsid w:val="00D66E2E"/>
    <w:rsid w:val="00D70835"/>
    <w:rsid w:val="00D7307F"/>
    <w:rsid w:val="00D74303"/>
    <w:rsid w:val="00D74C05"/>
    <w:rsid w:val="00D75158"/>
    <w:rsid w:val="00D75985"/>
    <w:rsid w:val="00D75B6E"/>
    <w:rsid w:val="00D7689C"/>
    <w:rsid w:val="00D769FE"/>
    <w:rsid w:val="00D771E0"/>
    <w:rsid w:val="00D775E7"/>
    <w:rsid w:val="00D77DE4"/>
    <w:rsid w:val="00D80057"/>
    <w:rsid w:val="00D8284A"/>
    <w:rsid w:val="00D8414D"/>
    <w:rsid w:val="00D84CB9"/>
    <w:rsid w:val="00D87686"/>
    <w:rsid w:val="00D87DF2"/>
    <w:rsid w:val="00D909C0"/>
    <w:rsid w:val="00D91661"/>
    <w:rsid w:val="00D91BD8"/>
    <w:rsid w:val="00D9354A"/>
    <w:rsid w:val="00D9414B"/>
    <w:rsid w:val="00D957A8"/>
    <w:rsid w:val="00DA19A5"/>
    <w:rsid w:val="00DA2E0D"/>
    <w:rsid w:val="00DA47EC"/>
    <w:rsid w:val="00DA5097"/>
    <w:rsid w:val="00DA69EB"/>
    <w:rsid w:val="00DA73DA"/>
    <w:rsid w:val="00DA7D69"/>
    <w:rsid w:val="00DB07E0"/>
    <w:rsid w:val="00DB10E5"/>
    <w:rsid w:val="00DB53DA"/>
    <w:rsid w:val="00DC01D7"/>
    <w:rsid w:val="00DC17DD"/>
    <w:rsid w:val="00DC19C8"/>
    <w:rsid w:val="00DC37ED"/>
    <w:rsid w:val="00DC3A40"/>
    <w:rsid w:val="00DC45CF"/>
    <w:rsid w:val="00DC5BAD"/>
    <w:rsid w:val="00DC5DC8"/>
    <w:rsid w:val="00DC7A69"/>
    <w:rsid w:val="00DC7A89"/>
    <w:rsid w:val="00DD0D67"/>
    <w:rsid w:val="00DD2927"/>
    <w:rsid w:val="00DD36D8"/>
    <w:rsid w:val="00DD65F0"/>
    <w:rsid w:val="00DD6D1A"/>
    <w:rsid w:val="00DE06B3"/>
    <w:rsid w:val="00DE0AC9"/>
    <w:rsid w:val="00DE0C12"/>
    <w:rsid w:val="00DE1D51"/>
    <w:rsid w:val="00DE1FCD"/>
    <w:rsid w:val="00DE21E7"/>
    <w:rsid w:val="00DE3348"/>
    <w:rsid w:val="00DE3E4D"/>
    <w:rsid w:val="00DE4953"/>
    <w:rsid w:val="00DE4B23"/>
    <w:rsid w:val="00DE4CBD"/>
    <w:rsid w:val="00DE6093"/>
    <w:rsid w:val="00DE63DA"/>
    <w:rsid w:val="00DE65CE"/>
    <w:rsid w:val="00DF12AA"/>
    <w:rsid w:val="00DF18E1"/>
    <w:rsid w:val="00DF2A3D"/>
    <w:rsid w:val="00DF3A88"/>
    <w:rsid w:val="00DF51B8"/>
    <w:rsid w:val="00DF53A5"/>
    <w:rsid w:val="00DF551C"/>
    <w:rsid w:val="00DF5563"/>
    <w:rsid w:val="00DF5820"/>
    <w:rsid w:val="00DF5CBF"/>
    <w:rsid w:val="00DF6CEC"/>
    <w:rsid w:val="00DF6F26"/>
    <w:rsid w:val="00E01046"/>
    <w:rsid w:val="00E0321D"/>
    <w:rsid w:val="00E03959"/>
    <w:rsid w:val="00E051ED"/>
    <w:rsid w:val="00E07B43"/>
    <w:rsid w:val="00E07E1F"/>
    <w:rsid w:val="00E106FC"/>
    <w:rsid w:val="00E1114A"/>
    <w:rsid w:val="00E11986"/>
    <w:rsid w:val="00E11BB4"/>
    <w:rsid w:val="00E11F15"/>
    <w:rsid w:val="00E11F18"/>
    <w:rsid w:val="00E121BA"/>
    <w:rsid w:val="00E12EE8"/>
    <w:rsid w:val="00E13D42"/>
    <w:rsid w:val="00E159F6"/>
    <w:rsid w:val="00E16679"/>
    <w:rsid w:val="00E16BD3"/>
    <w:rsid w:val="00E17091"/>
    <w:rsid w:val="00E201B5"/>
    <w:rsid w:val="00E20411"/>
    <w:rsid w:val="00E21035"/>
    <w:rsid w:val="00E21CFC"/>
    <w:rsid w:val="00E23EB7"/>
    <w:rsid w:val="00E23FC5"/>
    <w:rsid w:val="00E24204"/>
    <w:rsid w:val="00E2570E"/>
    <w:rsid w:val="00E25AE3"/>
    <w:rsid w:val="00E262B2"/>
    <w:rsid w:val="00E26368"/>
    <w:rsid w:val="00E27612"/>
    <w:rsid w:val="00E27D00"/>
    <w:rsid w:val="00E30EB4"/>
    <w:rsid w:val="00E3281D"/>
    <w:rsid w:val="00E32955"/>
    <w:rsid w:val="00E346B4"/>
    <w:rsid w:val="00E360B1"/>
    <w:rsid w:val="00E36232"/>
    <w:rsid w:val="00E36DF2"/>
    <w:rsid w:val="00E37C40"/>
    <w:rsid w:val="00E441DB"/>
    <w:rsid w:val="00E4461B"/>
    <w:rsid w:val="00E45A7F"/>
    <w:rsid w:val="00E45C94"/>
    <w:rsid w:val="00E462E8"/>
    <w:rsid w:val="00E46C65"/>
    <w:rsid w:val="00E47627"/>
    <w:rsid w:val="00E47B22"/>
    <w:rsid w:val="00E5031C"/>
    <w:rsid w:val="00E50853"/>
    <w:rsid w:val="00E517CB"/>
    <w:rsid w:val="00E519D8"/>
    <w:rsid w:val="00E52657"/>
    <w:rsid w:val="00E54295"/>
    <w:rsid w:val="00E54E8C"/>
    <w:rsid w:val="00E55797"/>
    <w:rsid w:val="00E56A68"/>
    <w:rsid w:val="00E600D6"/>
    <w:rsid w:val="00E61D8D"/>
    <w:rsid w:val="00E6250E"/>
    <w:rsid w:val="00E66263"/>
    <w:rsid w:val="00E6781B"/>
    <w:rsid w:val="00E70F67"/>
    <w:rsid w:val="00E71C60"/>
    <w:rsid w:val="00E71E01"/>
    <w:rsid w:val="00E734A8"/>
    <w:rsid w:val="00E7554A"/>
    <w:rsid w:val="00E7667D"/>
    <w:rsid w:val="00E77ED5"/>
    <w:rsid w:val="00E805BD"/>
    <w:rsid w:val="00E809F0"/>
    <w:rsid w:val="00E80C44"/>
    <w:rsid w:val="00E82008"/>
    <w:rsid w:val="00E83745"/>
    <w:rsid w:val="00E83E4E"/>
    <w:rsid w:val="00E84CFE"/>
    <w:rsid w:val="00E85086"/>
    <w:rsid w:val="00E85C53"/>
    <w:rsid w:val="00E86A73"/>
    <w:rsid w:val="00E86E5C"/>
    <w:rsid w:val="00E871E1"/>
    <w:rsid w:val="00E90486"/>
    <w:rsid w:val="00E91CFA"/>
    <w:rsid w:val="00E91D63"/>
    <w:rsid w:val="00E920A3"/>
    <w:rsid w:val="00E9302E"/>
    <w:rsid w:val="00E93056"/>
    <w:rsid w:val="00E93FAF"/>
    <w:rsid w:val="00E95168"/>
    <w:rsid w:val="00E959AD"/>
    <w:rsid w:val="00E96387"/>
    <w:rsid w:val="00E967F7"/>
    <w:rsid w:val="00E969A4"/>
    <w:rsid w:val="00E96D9F"/>
    <w:rsid w:val="00EA2006"/>
    <w:rsid w:val="00EA2FF5"/>
    <w:rsid w:val="00EA345F"/>
    <w:rsid w:val="00EA3C7D"/>
    <w:rsid w:val="00EA3DB2"/>
    <w:rsid w:val="00EA7BEC"/>
    <w:rsid w:val="00EB1FAE"/>
    <w:rsid w:val="00EB2B80"/>
    <w:rsid w:val="00EC0064"/>
    <w:rsid w:val="00EC149A"/>
    <w:rsid w:val="00EC3692"/>
    <w:rsid w:val="00EC4262"/>
    <w:rsid w:val="00EC494B"/>
    <w:rsid w:val="00EC4C4B"/>
    <w:rsid w:val="00EC4D1D"/>
    <w:rsid w:val="00EC5187"/>
    <w:rsid w:val="00EC5A17"/>
    <w:rsid w:val="00ED0F28"/>
    <w:rsid w:val="00ED120C"/>
    <w:rsid w:val="00ED13B6"/>
    <w:rsid w:val="00ED2DAD"/>
    <w:rsid w:val="00ED328C"/>
    <w:rsid w:val="00ED4F24"/>
    <w:rsid w:val="00EE2A11"/>
    <w:rsid w:val="00EE37E8"/>
    <w:rsid w:val="00EE3B76"/>
    <w:rsid w:val="00EE4500"/>
    <w:rsid w:val="00EE6645"/>
    <w:rsid w:val="00EE6C4E"/>
    <w:rsid w:val="00EF0094"/>
    <w:rsid w:val="00EF0FCE"/>
    <w:rsid w:val="00EF2B54"/>
    <w:rsid w:val="00EF315C"/>
    <w:rsid w:val="00EF3F5D"/>
    <w:rsid w:val="00EF4FDC"/>
    <w:rsid w:val="00EF64EF"/>
    <w:rsid w:val="00EF6794"/>
    <w:rsid w:val="00EF6B53"/>
    <w:rsid w:val="00F0007D"/>
    <w:rsid w:val="00F03200"/>
    <w:rsid w:val="00F032EE"/>
    <w:rsid w:val="00F0379E"/>
    <w:rsid w:val="00F054FF"/>
    <w:rsid w:val="00F05E61"/>
    <w:rsid w:val="00F07619"/>
    <w:rsid w:val="00F151F3"/>
    <w:rsid w:val="00F15B00"/>
    <w:rsid w:val="00F16170"/>
    <w:rsid w:val="00F16E37"/>
    <w:rsid w:val="00F17671"/>
    <w:rsid w:val="00F17990"/>
    <w:rsid w:val="00F17E5E"/>
    <w:rsid w:val="00F2049E"/>
    <w:rsid w:val="00F2080C"/>
    <w:rsid w:val="00F2116D"/>
    <w:rsid w:val="00F218B4"/>
    <w:rsid w:val="00F23F8F"/>
    <w:rsid w:val="00F24886"/>
    <w:rsid w:val="00F26D05"/>
    <w:rsid w:val="00F273A2"/>
    <w:rsid w:val="00F27DDE"/>
    <w:rsid w:val="00F319D3"/>
    <w:rsid w:val="00F31D7D"/>
    <w:rsid w:val="00F328C8"/>
    <w:rsid w:val="00F33C22"/>
    <w:rsid w:val="00F3408E"/>
    <w:rsid w:val="00F350D3"/>
    <w:rsid w:val="00F35568"/>
    <w:rsid w:val="00F400AB"/>
    <w:rsid w:val="00F4016F"/>
    <w:rsid w:val="00F44340"/>
    <w:rsid w:val="00F450F8"/>
    <w:rsid w:val="00F45155"/>
    <w:rsid w:val="00F453A1"/>
    <w:rsid w:val="00F460D5"/>
    <w:rsid w:val="00F471A1"/>
    <w:rsid w:val="00F512E9"/>
    <w:rsid w:val="00F51903"/>
    <w:rsid w:val="00F52DB1"/>
    <w:rsid w:val="00F52F19"/>
    <w:rsid w:val="00F5356A"/>
    <w:rsid w:val="00F53ABE"/>
    <w:rsid w:val="00F53B23"/>
    <w:rsid w:val="00F545DB"/>
    <w:rsid w:val="00F5693C"/>
    <w:rsid w:val="00F57CA5"/>
    <w:rsid w:val="00F60C08"/>
    <w:rsid w:val="00F61742"/>
    <w:rsid w:val="00F61B11"/>
    <w:rsid w:val="00F634DC"/>
    <w:rsid w:val="00F63ABB"/>
    <w:rsid w:val="00F64C7D"/>
    <w:rsid w:val="00F64F3F"/>
    <w:rsid w:val="00F64F7D"/>
    <w:rsid w:val="00F654BF"/>
    <w:rsid w:val="00F661AD"/>
    <w:rsid w:val="00F6695A"/>
    <w:rsid w:val="00F66F34"/>
    <w:rsid w:val="00F679BF"/>
    <w:rsid w:val="00F67B01"/>
    <w:rsid w:val="00F706EC"/>
    <w:rsid w:val="00F708CA"/>
    <w:rsid w:val="00F7174C"/>
    <w:rsid w:val="00F7282A"/>
    <w:rsid w:val="00F76A3A"/>
    <w:rsid w:val="00F8109E"/>
    <w:rsid w:val="00F81FD4"/>
    <w:rsid w:val="00F83914"/>
    <w:rsid w:val="00F83ED8"/>
    <w:rsid w:val="00F847C7"/>
    <w:rsid w:val="00F861FB"/>
    <w:rsid w:val="00F8688E"/>
    <w:rsid w:val="00F92C4B"/>
    <w:rsid w:val="00F94C6A"/>
    <w:rsid w:val="00F96D5C"/>
    <w:rsid w:val="00F97BF0"/>
    <w:rsid w:val="00FA0E3C"/>
    <w:rsid w:val="00FA163D"/>
    <w:rsid w:val="00FA2F00"/>
    <w:rsid w:val="00FA3CBB"/>
    <w:rsid w:val="00FA5AD5"/>
    <w:rsid w:val="00FA6392"/>
    <w:rsid w:val="00FA79D5"/>
    <w:rsid w:val="00FB01BA"/>
    <w:rsid w:val="00FB14C1"/>
    <w:rsid w:val="00FB22C9"/>
    <w:rsid w:val="00FB2F00"/>
    <w:rsid w:val="00FB48E8"/>
    <w:rsid w:val="00FB4FCD"/>
    <w:rsid w:val="00FB5625"/>
    <w:rsid w:val="00FB564F"/>
    <w:rsid w:val="00FB5CC0"/>
    <w:rsid w:val="00FB5FF4"/>
    <w:rsid w:val="00FB6CE9"/>
    <w:rsid w:val="00FB6FC6"/>
    <w:rsid w:val="00FB70D5"/>
    <w:rsid w:val="00FB7BA7"/>
    <w:rsid w:val="00FC0E9C"/>
    <w:rsid w:val="00FC0F49"/>
    <w:rsid w:val="00FC128C"/>
    <w:rsid w:val="00FC17E0"/>
    <w:rsid w:val="00FC1C8F"/>
    <w:rsid w:val="00FC40E5"/>
    <w:rsid w:val="00FC48C9"/>
    <w:rsid w:val="00FC4FBB"/>
    <w:rsid w:val="00FC50B8"/>
    <w:rsid w:val="00FC5EA8"/>
    <w:rsid w:val="00FC615A"/>
    <w:rsid w:val="00FC6F2C"/>
    <w:rsid w:val="00FC74BB"/>
    <w:rsid w:val="00FD3165"/>
    <w:rsid w:val="00FD3E61"/>
    <w:rsid w:val="00FD4B74"/>
    <w:rsid w:val="00FD4DBD"/>
    <w:rsid w:val="00FD52D2"/>
    <w:rsid w:val="00FD638D"/>
    <w:rsid w:val="00FD655A"/>
    <w:rsid w:val="00FD7AF9"/>
    <w:rsid w:val="00FE312E"/>
    <w:rsid w:val="00FE31CC"/>
    <w:rsid w:val="00FE4760"/>
    <w:rsid w:val="00FE4808"/>
    <w:rsid w:val="00FE6242"/>
    <w:rsid w:val="00FE6A66"/>
    <w:rsid w:val="00FE702A"/>
    <w:rsid w:val="00FE7CFD"/>
    <w:rsid w:val="00FF462A"/>
    <w:rsid w:val="00FF53DB"/>
    <w:rsid w:val="00FF5A0C"/>
    <w:rsid w:val="00FF76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D27CD"/>
  <w14:defaultImageDpi w14:val="300"/>
  <w15:docId w15:val="{C68EF7D6-1911-438B-95CE-1CF45641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197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8496F"/>
    <w:pPr>
      <w:tabs>
        <w:tab w:val="center" w:pos="4819"/>
        <w:tab w:val="right" w:pos="9638"/>
      </w:tabs>
    </w:pPr>
  </w:style>
  <w:style w:type="character" w:customStyle="1" w:styleId="IntestazioneCarattere">
    <w:name w:val="Intestazione Carattere"/>
    <w:basedOn w:val="Carpredefinitoparagrafo"/>
    <w:link w:val="Intestazione"/>
    <w:uiPriority w:val="99"/>
    <w:rsid w:val="0008496F"/>
  </w:style>
  <w:style w:type="paragraph" w:styleId="Pidipagina">
    <w:name w:val="footer"/>
    <w:basedOn w:val="Normale"/>
    <w:link w:val="PidipaginaCarattere"/>
    <w:uiPriority w:val="99"/>
    <w:unhideWhenUsed/>
    <w:rsid w:val="0008496F"/>
    <w:pPr>
      <w:tabs>
        <w:tab w:val="center" w:pos="4819"/>
        <w:tab w:val="right" w:pos="9638"/>
      </w:tabs>
    </w:pPr>
  </w:style>
  <w:style w:type="character" w:customStyle="1" w:styleId="PidipaginaCarattere">
    <w:name w:val="Piè di pagina Carattere"/>
    <w:basedOn w:val="Carpredefinitoparagrafo"/>
    <w:link w:val="Pidipagina"/>
    <w:uiPriority w:val="99"/>
    <w:rsid w:val="0008496F"/>
  </w:style>
  <w:style w:type="paragraph" w:styleId="Paragrafoelenco">
    <w:name w:val="List Paragraph"/>
    <w:basedOn w:val="Normale"/>
    <w:uiPriority w:val="34"/>
    <w:qFormat/>
    <w:rsid w:val="001229FC"/>
    <w:pPr>
      <w:ind w:left="720"/>
      <w:contextualSpacing/>
    </w:pPr>
  </w:style>
  <w:style w:type="paragraph" w:styleId="Testonormale">
    <w:name w:val="Plain Text"/>
    <w:basedOn w:val="Normale"/>
    <w:link w:val="TestonormaleCarattere"/>
    <w:uiPriority w:val="99"/>
    <w:semiHidden/>
    <w:unhideWhenUsed/>
    <w:rsid w:val="000013A9"/>
    <w:rPr>
      <w:rFonts w:ascii="Calibri" w:eastAsiaTheme="minorHAnsi" w:hAnsi="Calibri"/>
      <w:sz w:val="22"/>
      <w:szCs w:val="21"/>
    </w:rPr>
  </w:style>
  <w:style w:type="character" w:customStyle="1" w:styleId="TestonormaleCarattere">
    <w:name w:val="Testo normale Carattere"/>
    <w:basedOn w:val="Carpredefinitoparagrafo"/>
    <w:link w:val="Testonormale"/>
    <w:uiPriority w:val="99"/>
    <w:semiHidden/>
    <w:rsid w:val="000013A9"/>
    <w:rPr>
      <w:rFonts w:ascii="Calibri" w:eastAsiaTheme="minorHAnsi" w:hAnsi="Calibri"/>
      <w:sz w:val="22"/>
      <w:szCs w:val="21"/>
    </w:rPr>
  </w:style>
  <w:style w:type="paragraph" w:styleId="Nessunaspaziatura">
    <w:name w:val="No Spacing"/>
    <w:uiPriority w:val="1"/>
    <w:qFormat/>
    <w:rsid w:val="008C3F65"/>
  </w:style>
  <w:style w:type="character" w:customStyle="1" w:styleId="ember-view">
    <w:name w:val="ember-view"/>
    <w:basedOn w:val="Carpredefinitoparagrafo"/>
    <w:rsid w:val="005C672E"/>
  </w:style>
  <w:style w:type="character" w:styleId="Collegamentoipertestuale">
    <w:name w:val="Hyperlink"/>
    <w:basedOn w:val="Carpredefinitoparagrafo"/>
    <w:uiPriority w:val="99"/>
    <w:unhideWhenUsed/>
    <w:rsid w:val="00864022"/>
    <w:rPr>
      <w:color w:val="0563C1"/>
      <w:u w:val="single"/>
    </w:rPr>
  </w:style>
  <w:style w:type="paragraph" w:styleId="Testofumetto">
    <w:name w:val="Balloon Text"/>
    <w:basedOn w:val="Normale"/>
    <w:link w:val="TestofumettoCarattere"/>
    <w:uiPriority w:val="99"/>
    <w:semiHidden/>
    <w:unhideWhenUsed/>
    <w:rsid w:val="00C1696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1696A"/>
    <w:rPr>
      <w:rFonts w:ascii="Segoe UI" w:hAnsi="Segoe UI" w:cs="Segoe UI"/>
      <w:sz w:val="18"/>
      <w:szCs w:val="18"/>
    </w:rPr>
  </w:style>
  <w:style w:type="character" w:styleId="Rimandocommento">
    <w:name w:val="annotation reference"/>
    <w:basedOn w:val="Carpredefinitoparagrafo"/>
    <w:uiPriority w:val="99"/>
    <w:semiHidden/>
    <w:unhideWhenUsed/>
    <w:rsid w:val="009D1D0B"/>
    <w:rPr>
      <w:sz w:val="16"/>
      <w:szCs w:val="16"/>
    </w:rPr>
  </w:style>
  <w:style w:type="paragraph" w:styleId="Testocommento">
    <w:name w:val="annotation text"/>
    <w:basedOn w:val="Normale"/>
    <w:link w:val="TestocommentoCarattere"/>
    <w:uiPriority w:val="99"/>
    <w:semiHidden/>
    <w:unhideWhenUsed/>
    <w:rsid w:val="009D1D0B"/>
    <w:rPr>
      <w:sz w:val="20"/>
      <w:szCs w:val="20"/>
    </w:rPr>
  </w:style>
  <w:style w:type="character" w:customStyle="1" w:styleId="TestocommentoCarattere">
    <w:name w:val="Testo commento Carattere"/>
    <w:basedOn w:val="Carpredefinitoparagrafo"/>
    <w:link w:val="Testocommento"/>
    <w:uiPriority w:val="99"/>
    <w:semiHidden/>
    <w:rsid w:val="009D1D0B"/>
    <w:rPr>
      <w:sz w:val="20"/>
      <w:szCs w:val="20"/>
    </w:rPr>
  </w:style>
  <w:style w:type="paragraph" w:styleId="Soggettocommento">
    <w:name w:val="annotation subject"/>
    <w:basedOn w:val="Testocommento"/>
    <w:next w:val="Testocommento"/>
    <w:link w:val="SoggettocommentoCarattere"/>
    <w:uiPriority w:val="99"/>
    <w:semiHidden/>
    <w:unhideWhenUsed/>
    <w:rsid w:val="009D1D0B"/>
    <w:rPr>
      <w:b/>
      <w:bCs/>
    </w:rPr>
  </w:style>
  <w:style w:type="character" w:customStyle="1" w:styleId="SoggettocommentoCarattere">
    <w:name w:val="Soggetto commento Carattere"/>
    <w:basedOn w:val="TestocommentoCarattere"/>
    <w:link w:val="Soggettocommento"/>
    <w:uiPriority w:val="99"/>
    <w:semiHidden/>
    <w:rsid w:val="009D1D0B"/>
    <w:rPr>
      <w:b/>
      <w:bCs/>
      <w:sz w:val="20"/>
      <w:szCs w:val="20"/>
    </w:rPr>
  </w:style>
  <w:style w:type="paragraph" w:styleId="Didascalia">
    <w:name w:val="caption"/>
    <w:basedOn w:val="Normale"/>
    <w:next w:val="Normale"/>
    <w:uiPriority w:val="35"/>
    <w:unhideWhenUsed/>
    <w:qFormat/>
    <w:rsid w:val="005421CC"/>
    <w:pPr>
      <w:spacing w:after="200"/>
    </w:pPr>
    <w:rPr>
      <w:i/>
      <w:iCs/>
      <w:color w:val="1F497D" w:themeColor="text2"/>
      <w:sz w:val="18"/>
      <w:szCs w:val="18"/>
    </w:rPr>
  </w:style>
  <w:style w:type="paragraph" w:styleId="Revisione">
    <w:name w:val="Revision"/>
    <w:hidden/>
    <w:uiPriority w:val="99"/>
    <w:semiHidden/>
    <w:rsid w:val="003C307B"/>
  </w:style>
  <w:style w:type="character" w:styleId="Enfasigrassetto">
    <w:name w:val="Strong"/>
    <w:basedOn w:val="Carpredefinitoparagrafo"/>
    <w:uiPriority w:val="22"/>
    <w:qFormat/>
    <w:rsid w:val="006A0F44"/>
    <w:rPr>
      <w:b/>
      <w:bCs/>
    </w:rPr>
  </w:style>
  <w:style w:type="character" w:customStyle="1" w:styleId="ui-provider">
    <w:name w:val="ui-provider"/>
    <w:basedOn w:val="Carpredefinitoparagrafo"/>
    <w:rsid w:val="009A6B3A"/>
  </w:style>
  <w:style w:type="paragraph" w:styleId="NormaleWeb">
    <w:name w:val="Normal (Web)"/>
    <w:basedOn w:val="Normale"/>
    <w:uiPriority w:val="99"/>
    <w:semiHidden/>
    <w:unhideWhenUsed/>
    <w:rsid w:val="009A6B3A"/>
    <w:pPr>
      <w:spacing w:before="100" w:beforeAutospacing="1" w:after="100" w:afterAutospacing="1"/>
    </w:pPr>
    <w:rPr>
      <w:rFonts w:ascii="Times New Roman" w:eastAsia="Times New Roman" w:hAnsi="Times New Roman" w:cs="Times New Roman"/>
      <w:lang w:eastAsia="it-IT"/>
    </w:rPr>
  </w:style>
  <w:style w:type="paragraph" w:customStyle="1" w:styleId="m-372022772050627412msolistparagraph">
    <w:name w:val="m_-372022772050627412msolistparagraph"/>
    <w:basedOn w:val="Normale"/>
    <w:rsid w:val="00C72DE3"/>
    <w:pPr>
      <w:spacing w:before="100" w:beforeAutospacing="1" w:after="100" w:afterAutospacing="1"/>
    </w:pPr>
    <w:rPr>
      <w:rFonts w:ascii="Calibri" w:eastAsiaTheme="minorHAnsi" w:hAnsi="Calibri" w:cs="Calibri"/>
      <w:sz w:val="22"/>
      <w:szCs w:val="22"/>
      <w:lang w:eastAsia="it-IT"/>
    </w:rPr>
  </w:style>
  <w:style w:type="character" w:styleId="Enfasicorsivo">
    <w:name w:val="Emphasis"/>
    <w:basedOn w:val="Carpredefinitoparagrafo"/>
    <w:uiPriority w:val="20"/>
    <w:qFormat/>
    <w:rsid w:val="003F210B"/>
    <w:rPr>
      <w:i/>
      <w:iCs/>
    </w:rPr>
  </w:style>
  <w:style w:type="paragraph" w:styleId="Corpodeltesto3">
    <w:name w:val="Body Text 3"/>
    <w:basedOn w:val="Normale"/>
    <w:link w:val="Corpodeltesto3Carattere"/>
    <w:semiHidden/>
    <w:rsid w:val="006E28A4"/>
    <w:pPr>
      <w:spacing w:before="120" w:after="120"/>
      <w:jc w:val="both"/>
    </w:pPr>
    <w:rPr>
      <w:rFonts w:ascii="Times New Roman" w:eastAsia="Times New Roman" w:hAnsi="Times New Roman" w:cs="Times New Roman"/>
      <w:lang w:eastAsia="it-IT"/>
    </w:rPr>
  </w:style>
  <w:style w:type="character" w:customStyle="1" w:styleId="Corpodeltesto3Carattere">
    <w:name w:val="Corpo del testo 3 Carattere"/>
    <w:basedOn w:val="Carpredefinitoparagrafo"/>
    <w:link w:val="Corpodeltesto3"/>
    <w:semiHidden/>
    <w:rsid w:val="006E28A4"/>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189">
      <w:bodyDiv w:val="1"/>
      <w:marLeft w:val="0"/>
      <w:marRight w:val="0"/>
      <w:marTop w:val="0"/>
      <w:marBottom w:val="0"/>
      <w:divBdr>
        <w:top w:val="none" w:sz="0" w:space="0" w:color="auto"/>
        <w:left w:val="none" w:sz="0" w:space="0" w:color="auto"/>
        <w:bottom w:val="none" w:sz="0" w:space="0" w:color="auto"/>
        <w:right w:val="none" w:sz="0" w:space="0" w:color="auto"/>
      </w:divBdr>
    </w:div>
    <w:div w:id="24717852">
      <w:bodyDiv w:val="1"/>
      <w:marLeft w:val="0"/>
      <w:marRight w:val="0"/>
      <w:marTop w:val="0"/>
      <w:marBottom w:val="0"/>
      <w:divBdr>
        <w:top w:val="none" w:sz="0" w:space="0" w:color="auto"/>
        <w:left w:val="none" w:sz="0" w:space="0" w:color="auto"/>
        <w:bottom w:val="none" w:sz="0" w:space="0" w:color="auto"/>
        <w:right w:val="none" w:sz="0" w:space="0" w:color="auto"/>
      </w:divBdr>
    </w:div>
    <w:div w:id="65228096">
      <w:bodyDiv w:val="1"/>
      <w:marLeft w:val="0"/>
      <w:marRight w:val="0"/>
      <w:marTop w:val="0"/>
      <w:marBottom w:val="0"/>
      <w:divBdr>
        <w:top w:val="none" w:sz="0" w:space="0" w:color="auto"/>
        <w:left w:val="none" w:sz="0" w:space="0" w:color="auto"/>
        <w:bottom w:val="none" w:sz="0" w:space="0" w:color="auto"/>
        <w:right w:val="none" w:sz="0" w:space="0" w:color="auto"/>
      </w:divBdr>
    </w:div>
    <w:div w:id="76296570">
      <w:bodyDiv w:val="1"/>
      <w:marLeft w:val="0"/>
      <w:marRight w:val="0"/>
      <w:marTop w:val="0"/>
      <w:marBottom w:val="0"/>
      <w:divBdr>
        <w:top w:val="none" w:sz="0" w:space="0" w:color="auto"/>
        <w:left w:val="none" w:sz="0" w:space="0" w:color="auto"/>
        <w:bottom w:val="none" w:sz="0" w:space="0" w:color="auto"/>
        <w:right w:val="none" w:sz="0" w:space="0" w:color="auto"/>
      </w:divBdr>
    </w:div>
    <w:div w:id="83187055">
      <w:bodyDiv w:val="1"/>
      <w:marLeft w:val="0"/>
      <w:marRight w:val="0"/>
      <w:marTop w:val="0"/>
      <w:marBottom w:val="0"/>
      <w:divBdr>
        <w:top w:val="none" w:sz="0" w:space="0" w:color="auto"/>
        <w:left w:val="none" w:sz="0" w:space="0" w:color="auto"/>
        <w:bottom w:val="none" w:sz="0" w:space="0" w:color="auto"/>
        <w:right w:val="none" w:sz="0" w:space="0" w:color="auto"/>
      </w:divBdr>
    </w:div>
    <w:div w:id="96952069">
      <w:bodyDiv w:val="1"/>
      <w:marLeft w:val="0"/>
      <w:marRight w:val="0"/>
      <w:marTop w:val="0"/>
      <w:marBottom w:val="0"/>
      <w:divBdr>
        <w:top w:val="none" w:sz="0" w:space="0" w:color="auto"/>
        <w:left w:val="none" w:sz="0" w:space="0" w:color="auto"/>
        <w:bottom w:val="none" w:sz="0" w:space="0" w:color="auto"/>
        <w:right w:val="none" w:sz="0" w:space="0" w:color="auto"/>
      </w:divBdr>
    </w:div>
    <w:div w:id="113259153">
      <w:bodyDiv w:val="1"/>
      <w:marLeft w:val="0"/>
      <w:marRight w:val="0"/>
      <w:marTop w:val="0"/>
      <w:marBottom w:val="0"/>
      <w:divBdr>
        <w:top w:val="none" w:sz="0" w:space="0" w:color="auto"/>
        <w:left w:val="none" w:sz="0" w:space="0" w:color="auto"/>
        <w:bottom w:val="none" w:sz="0" w:space="0" w:color="auto"/>
        <w:right w:val="none" w:sz="0" w:space="0" w:color="auto"/>
      </w:divBdr>
    </w:div>
    <w:div w:id="203366733">
      <w:bodyDiv w:val="1"/>
      <w:marLeft w:val="0"/>
      <w:marRight w:val="0"/>
      <w:marTop w:val="0"/>
      <w:marBottom w:val="0"/>
      <w:divBdr>
        <w:top w:val="none" w:sz="0" w:space="0" w:color="auto"/>
        <w:left w:val="none" w:sz="0" w:space="0" w:color="auto"/>
        <w:bottom w:val="none" w:sz="0" w:space="0" w:color="auto"/>
        <w:right w:val="none" w:sz="0" w:space="0" w:color="auto"/>
      </w:divBdr>
    </w:div>
    <w:div w:id="214975696">
      <w:bodyDiv w:val="1"/>
      <w:marLeft w:val="0"/>
      <w:marRight w:val="0"/>
      <w:marTop w:val="0"/>
      <w:marBottom w:val="0"/>
      <w:divBdr>
        <w:top w:val="none" w:sz="0" w:space="0" w:color="auto"/>
        <w:left w:val="none" w:sz="0" w:space="0" w:color="auto"/>
        <w:bottom w:val="none" w:sz="0" w:space="0" w:color="auto"/>
        <w:right w:val="none" w:sz="0" w:space="0" w:color="auto"/>
      </w:divBdr>
    </w:div>
    <w:div w:id="216475334">
      <w:bodyDiv w:val="1"/>
      <w:marLeft w:val="0"/>
      <w:marRight w:val="0"/>
      <w:marTop w:val="0"/>
      <w:marBottom w:val="0"/>
      <w:divBdr>
        <w:top w:val="none" w:sz="0" w:space="0" w:color="auto"/>
        <w:left w:val="none" w:sz="0" w:space="0" w:color="auto"/>
        <w:bottom w:val="none" w:sz="0" w:space="0" w:color="auto"/>
        <w:right w:val="none" w:sz="0" w:space="0" w:color="auto"/>
      </w:divBdr>
    </w:div>
    <w:div w:id="216480550">
      <w:bodyDiv w:val="1"/>
      <w:marLeft w:val="0"/>
      <w:marRight w:val="0"/>
      <w:marTop w:val="0"/>
      <w:marBottom w:val="0"/>
      <w:divBdr>
        <w:top w:val="none" w:sz="0" w:space="0" w:color="auto"/>
        <w:left w:val="none" w:sz="0" w:space="0" w:color="auto"/>
        <w:bottom w:val="none" w:sz="0" w:space="0" w:color="auto"/>
        <w:right w:val="none" w:sz="0" w:space="0" w:color="auto"/>
      </w:divBdr>
    </w:div>
    <w:div w:id="233666409">
      <w:bodyDiv w:val="1"/>
      <w:marLeft w:val="0"/>
      <w:marRight w:val="0"/>
      <w:marTop w:val="0"/>
      <w:marBottom w:val="0"/>
      <w:divBdr>
        <w:top w:val="none" w:sz="0" w:space="0" w:color="auto"/>
        <w:left w:val="none" w:sz="0" w:space="0" w:color="auto"/>
        <w:bottom w:val="none" w:sz="0" w:space="0" w:color="auto"/>
        <w:right w:val="none" w:sz="0" w:space="0" w:color="auto"/>
      </w:divBdr>
    </w:div>
    <w:div w:id="238757568">
      <w:bodyDiv w:val="1"/>
      <w:marLeft w:val="0"/>
      <w:marRight w:val="0"/>
      <w:marTop w:val="0"/>
      <w:marBottom w:val="0"/>
      <w:divBdr>
        <w:top w:val="none" w:sz="0" w:space="0" w:color="auto"/>
        <w:left w:val="none" w:sz="0" w:space="0" w:color="auto"/>
        <w:bottom w:val="none" w:sz="0" w:space="0" w:color="auto"/>
        <w:right w:val="none" w:sz="0" w:space="0" w:color="auto"/>
      </w:divBdr>
    </w:div>
    <w:div w:id="253973882">
      <w:bodyDiv w:val="1"/>
      <w:marLeft w:val="0"/>
      <w:marRight w:val="0"/>
      <w:marTop w:val="0"/>
      <w:marBottom w:val="0"/>
      <w:divBdr>
        <w:top w:val="none" w:sz="0" w:space="0" w:color="auto"/>
        <w:left w:val="none" w:sz="0" w:space="0" w:color="auto"/>
        <w:bottom w:val="none" w:sz="0" w:space="0" w:color="auto"/>
        <w:right w:val="none" w:sz="0" w:space="0" w:color="auto"/>
      </w:divBdr>
    </w:div>
    <w:div w:id="260916953">
      <w:bodyDiv w:val="1"/>
      <w:marLeft w:val="0"/>
      <w:marRight w:val="0"/>
      <w:marTop w:val="0"/>
      <w:marBottom w:val="0"/>
      <w:divBdr>
        <w:top w:val="none" w:sz="0" w:space="0" w:color="auto"/>
        <w:left w:val="none" w:sz="0" w:space="0" w:color="auto"/>
        <w:bottom w:val="none" w:sz="0" w:space="0" w:color="auto"/>
        <w:right w:val="none" w:sz="0" w:space="0" w:color="auto"/>
      </w:divBdr>
    </w:div>
    <w:div w:id="271983983">
      <w:bodyDiv w:val="1"/>
      <w:marLeft w:val="0"/>
      <w:marRight w:val="0"/>
      <w:marTop w:val="0"/>
      <w:marBottom w:val="0"/>
      <w:divBdr>
        <w:top w:val="none" w:sz="0" w:space="0" w:color="auto"/>
        <w:left w:val="none" w:sz="0" w:space="0" w:color="auto"/>
        <w:bottom w:val="none" w:sz="0" w:space="0" w:color="auto"/>
        <w:right w:val="none" w:sz="0" w:space="0" w:color="auto"/>
      </w:divBdr>
    </w:div>
    <w:div w:id="283999100">
      <w:bodyDiv w:val="1"/>
      <w:marLeft w:val="0"/>
      <w:marRight w:val="0"/>
      <w:marTop w:val="0"/>
      <w:marBottom w:val="0"/>
      <w:divBdr>
        <w:top w:val="none" w:sz="0" w:space="0" w:color="auto"/>
        <w:left w:val="none" w:sz="0" w:space="0" w:color="auto"/>
        <w:bottom w:val="none" w:sz="0" w:space="0" w:color="auto"/>
        <w:right w:val="none" w:sz="0" w:space="0" w:color="auto"/>
      </w:divBdr>
    </w:div>
    <w:div w:id="285046358">
      <w:bodyDiv w:val="1"/>
      <w:marLeft w:val="0"/>
      <w:marRight w:val="0"/>
      <w:marTop w:val="0"/>
      <w:marBottom w:val="0"/>
      <w:divBdr>
        <w:top w:val="none" w:sz="0" w:space="0" w:color="auto"/>
        <w:left w:val="none" w:sz="0" w:space="0" w:color="auto"/>
        <w:bottom w:val="none" w:sz="0" w:space="0" w:color="auto"/>
        <w:right w:val="none" w:sz="0" w:space="0" w:color="auto"/>
      </w:divBdr>
      <w:divsChild>
        <w:div w:id="1321545531">
          <w:marLeft w:val="1166"/>
          <w:marRight w:val="0"/>
          <w:marTop w:val="0"/>
          <w:marBottom w:val="0"/>
          <w:divBdr>
            <w:top w:val="none" w:sz="0" w:space="0" w:color="auto"/>
            <w:left w:val="none" w:sz="0" w:space="0" w:color="auto"/>
            <w:bottom w:val="none" w:sz="0" w:space="0" w:color="auto"/>
            <w:right w:val="none" w:sz="0" w:space="0" w:color="auto"/>
          </w:divBdr>
        </w:div>
      </w:divsChild>
    </w:div>
    <w:div w:id="298193027">
      <w:bodyDiv w:val="1"/>
      <w:marLeft w:val="0"/>
      <w:marRight w:val="0"/>
      <w:marTop w:val="0"/>
      <w:marBottom w:val="0"/>
      <w:divBdr>
        <w:top w:val="none" w:sz="0" w:space="0" w:color="auto"/>
        <w:left w:val="none" w:sz="0" w:space="0" w:color="auto"/>
        <w:bottom w:val="none" w:sz="0" w:space="0" w:color="auto"/>
        <w:right w:val="none" w:sz="0" w:space="0" w:color="auto"/>
      </w:divBdr>
    </w:div>
    <w:div w:id="304624197">
      <w:bodyDiv w:val="1"/>
      <w:marLeft w:val="0"/>
      <w:marRight w:val="0"/>
      <w:marTop w:val="0"/>
      <w:marBottom w:val="0"/>
      <w:divBdr>
        <w:top w:val="none" w:sz="0" w:space="0" w:color="auto"/>
        <w:left w:val="none" w:sz="0" w:space="0" w:color="auto"/>
        <w:bottom w:val="none" w:sz="0" w:space="0" w:color="auto"/>
        <w:right w:val="none" w:sz="0" w:space="0" w:color="auto"/>
      </w:divBdr>
    </w:div>
    <w:div w:id="312293291">
      <w:bodyDiv w:val="1"/>
      <w:marLeft w:val="0"/>
      <w:marRight w:val="0"/>
      <w:marTop w:val="0"/>
      <w:marBottom w:val="0"/>
      <w:divBdr>
        <w:top w:val="none" w:sz="0" w:space="0" w:color="auto"/>
        <w:left w:val="none" w:sz="0" w:space="0" w:color="auto"/>
        <w:bottom w:val="none" w:sz="0" w:space="0" w:color="auto"/>
        <w:right w:val="none" w:sz="0" w:space="0" w:color="auto"/>
      </w:divBdr>
    </w:div>
    <w:div w:id="364410751">
      <w:bodyDiv w:val="1"/>
      <w:marLeft w:val="0"/>
      <w:marRight w:val="0"/>
      <w:marTop w:val="0"/>
      <w:marBottom w:val="0"/>
      <w:divBdr>
        <w:top w:val="none" w:sz="0" w:space="0" w:color="auto"/>
        <w:left w:val="none" w:sz="0" w:space="0" w:color="auto"/>
        <w:bottom w:val="none" w:sz="0" w:space="0" w:color="auto"/>
        <w:right w:val="none" w:sz="0" w:space="0" w:color="auto"/>
      </w:divBdr>
    </w:div>
    <w:div w:id="370887204">
      <w:bodyDiv w:val="1"/>
      <w:marLeft w:val="0"/>
      <w:marRight w:val="0"/>
      <w:marTop w:val="0"/>
      <w:marBottom w:val="0"/>
      <w:divBdr>
        <w:top w:val="none" w:sz="0" w:space="0" w:color="auto"/>
        <w:left w:val="none" w:sz="0" w:space="0" w:color="auto"/>
        <w:bottom w:val="none" w:sz="0" w:space="0" w:color="auto"/>
        <w:right w:val="none" w:sz="0" w:space="0" w:color="auto"/>
      </w:divBdr>
      <w:divsChild>
        <w:div w:id="1411927746">
          <w:marLeft w:val="1166"/>
          <w:marRight w:val="0"/>
          <w:marTop w:val="0"/>
          <w:marBottom w:val="0"/>
          <w:divBdr>
            <w:top w:val="none" w:sz="0" w:space="0" w:color="auto"/>
            <w:left w:val="none" w:sz="0" w:space="0" w:color="auto"/>
            <w:bottom w:val="none" w:sz="0" w:space="0" w:color="auto"/>
            <w:right w:val="none" w:sz="0" w:space="0" w:color="auto"/>
          </w:divBdr>
        </w:div>
      </w:divsChild>
    </w:div>
    <w:div w:id="371618244">
      <w:bodyDiv w:val="1"/>
      <w:marLeft w:val="0"/>
      <w:marRight w:val="0"/>
      <w:marTop w:val="0"/>
      <w:marBottom w:val="0"/>
      <w:divBdr>
        <w:top w:val="none" w:sz="0" w:space="0" w:color="auto"/>
        <w:left w:val="none" w:sz="0" w:space="0" w:color="auto"/>
        <w:bottom w:val="none" w:sz="0" w:space="0" w:color="auto"/>
        <w:right w:val="none" w:sz="0" w:space="0" w:color="auto"/>
      </w:divBdr>
    </w:div>
    <w:div w:id="424807935">
      <w:bodyDiv w:val="1"/>
      <w:marLeft w:val="0"/>
      <w:marRight w:val="0"/>
      <w:marTop w:val="0"/>
      <w:marBottom w:val="0"/>
      <w:divBdr>
        <w:top w:val="none" w:sz="0" w:space="0" w:color="auto"/>
        <w:left w:val="none" w:sz="0" w:space="0" w:color="auto"/>
        <w:bottom w:val="none" w:sz="0" w:space="0" w:color="auto"/>
        <w:right w:val="none" w:sz="0" w:space="0" w:color="auto"/>
      </w:divBdr>
    </w:div>
    <w:div w:id="502164220">
      <w:bodyDiv w:val="1"/>
      <w:marLeft w:val="0"/>
      <w:marRight w:val="0"/>
      <w:marTop w:val="0"/>
      <w:marBottom w:val="0"/>
      <w:divBdr>
        <w:top w:val="none" w:sz="0" w:space="0" w:color="auto"/>
        <w:left w:val="none" w:sz="0" w:space="0" w:color="auto"/>
        <w:bottom w:val="none" w:sz="0" w:space="0" w:color="auto"/>
        <w:right w:val="none" w:sz="0" w:space="0" w:color="auto"/>
      </w:divBdr>
    </w:div>
    <w:div w:id="553662724">
      <w:bodyDiv w:val="1"/>
      <w:marLeft w:val="0"/>
      <w:marRight w:val="0"/>
      <w:marTop w:val="0"/>
      <w:marBottom w:val="0"/>
      <w:divBdr>
        <w:top w:val="none" w:sz="0" w:space="0" w:color="auto"/>
        <w:left w:val="none" w:sz="0" w:space="0" w:color="auto"/>
        <w:bottom w:val="none" w:sz="0" w:space="0" w:color="auto"/>
        <w:right w:val="none" w:sz="0" w:space="0" w:color="auto"/>
      </w:divBdr>
    </w:div>
    <w:div w:id="612785566">
      <w:bodyDiv w:val="1"/>
      <w:marLeft w:val="0"/>
      <w:marRight w:val="0"/>
      <w:marTop w:val="0"/>
      <w:marBottom w:val="0"/>
      <w:divBdr>
        <w:top w:val="none" w:sz="0" w:space="0" w:color="auto"/>
        <w:left w:val="none" w:sz="0" w:space="0" w:color="auto"/>
        <w:bottom w:val="none" w:sz="0" w:space="0" w:color="auto"/>
        <w:right w:val="none" w:sz="0" w:space="0" w:color="auto"/>
      </w:divBdr>
    </w:div>
    <w:div w:id="618150610">
      <w:bodyDiv w:val="1"/>
      <w:marLeft w:val="0"/>
      <w:marRight w:val="0"/>
      <w:marTop w:val="0"/>
      <w:marBottom w:val="0"/>
      <w:divBdr>
        <w:top w:val="none" w:sz="0" w:space="0" w:color="auto"/>
        <w:left w:val="none" w:sz="0" w:space="0" w:color="auto"/>
        <w:bottom w:val="none" w:sz="0" w:space="0" w:color="auto"/>
        <w:right w:val="none" w:sz="0" w:space="0" w:color="auto"/>
      </w:divBdr>
    </w:div>
    <w:div w:id="620115738">
      <w:bodyDiv w:val="1"/>
      <w:marLeft w:val="0"/>
      <w:marRight w:val="0"/>
      <w:marTop w:val="0"/>
      <w:marBottom w:val="0"/>
      <w:divBdr>
        <w:top w:val="none" w:sz="0" w:space="0" w:color="auto"/>
        <w:left w:val="none" w:sz="0" w:space="0" w:color="auto"/>
        <w:bottom w:val="none" w:sz="0" w:space="0" w:color="auto"/>
        <w:right w:val="none" w:sz="0" w:space="0" w:color="auto"/>
      </w:divBdr>
    </w:div>
    <w:div w:id="631131540">
      <w:bodyDiv w:val="1"/>
      <w:marLeft w:val="0"/>
      <w:marRight w:val="0"/>
      <w:marTop w:val="0"/>
      <w:marBottom w:val="0"/>
      <w:divBdr>
        <w:top w:val="none" w:sz="0" w:space="0" w:color="auto"/>
        <w:left w:val="none" w:sz="0" w:space="0" w:color="auto"/>
        <w:bottom w:val="none" w:sz="0" w:space="0" w:color="auto"/>
        <w:right w:val="none" w:sz="0" w:space="0" w:color="auto"/>
      </w:divBdr>
    </w:div>
    <w:div w:id="636570661">
      <w:bodyDiv w:val="1"/>
      <w:marLeft w:val="0"/>
      <w:marRight w:val="0"/>
      <w:marTop w:val="0"/>
      <w:marBottom w:val="0"/>
      <w:divBdr>
        <w:top w:val="none" w:sz="0" w:space="0" w:color="auto"/>
        <w:left w:val="none" w:sz="0" w:space="0" w:color="auto"/>
        <w:bottom w:val="none" w:sz="0" w:space="0" w:color="auto"/>
        <w:right w:val="none" w:sz="0" w:space="0" w:color="auto"/>
      </w:divBdr>
    </w:div>
    <w:div w:id="643120309">
      <w:bodyDiv w:val="1"/>
      <w:marLeft w:val="0"/>
      <w:marRight w:val="0"/>
      <w:marTop w:val="0"/>
      <w:marBottom w:val="0"/>
      <w:divBdr>
        <w:top w:val="none" w:sz="0" w:space="0" w:color="auto"/>
        <w:left w:val="none" w:sz="0" w:space="0" w:color="auto"/>
        <w:bottom w:val="none" w:sz="0" w:space="0" w:color="auto"/>
        <w:right w:val="none" w:sz="0" w:space="0" w:color="auto"/>
      </w:divBdr>
    </w:div>
    <w:div w:id="725029447">
      <w:bodyDiv w:val="1"/>
      <w:marLeft w:val="0"/>
      <w:marRight w:val="0"/>
      <w:marTop w:val="0"/>
      <w:marBottom w:val="0"/>
      <w:divBdr>
        <w:top w:val="none" w:sz="0" w:space="0" w:color="auto"/>
        <w:left w:val="none" w:sz="0" w:space="0" w:color="auto"/>
        <w:bottom w:val="none" w:sz="0" w:space="0" w:color="auto"/>
        <w:right w:val="none" w:sz="0" w:space="0" w:color="auto"/>
      </w:divBdr>
      <w:divsChild>
        <w:div w:id="1493597077">
          <w:marLeft w:val="446"/>
          <w:marRight w:val="0"/>
          <w:marTop w:val="0"/>
          <w:marBottom w:val="120"/>
          <w:divBdr>
            <w:top w:val="none" w:sz="0" w:space="0" w:color="auto"/>
            <w:left w:val="none" w:sz="0" w:space="0" w:color="auto"/>
            <w:bottom w:val="none" w:sz="0" w:space="0" w:color="auto"/>
            <w:right w:val="none" w:sz="0" w:space="0" w:color="auto"/>
          </w:divBdr>
        </w:div>
      </w:divsChild>
    </w:div>
    <w:div w:id="758915638">
      <w:bodyDiv w:val="1"/>
      <w:marLeft w:val="0"/>
      <w:marRight w:val="0"/>
      <w:marTop w:val="0"/>
      <w:marBottom w:val="0"/>
      <w:divBdr>
        <w:top w:val="none" w:sz="0" w:space="0" w:color="auto"/>
        <w:left w:val="none" w:sz="0" w:space="0" w:color="auto"/>
        <w:bottom w:val="none" w:sz="0" w:space="0" w:color="auto"/>
        <w:right w:val="none" w:sz="0" w:space="0" w:color="auto"/>
      </w:divBdr>
    </w:div>
    <w:div w:id="812214684">
      <w:bodyDiv w:val="1"/>
      <w:marLeft w:val="0"/>
      <w:marRight w:val="0"/>
      <w:marTop w:val="0"/>
      <w:marBottom w:val="0"/>
      <w:divBdr>
        <w:top w:val="none" w:sz="0" w:space="0" w:color="auto"/>
        <w:left w:val="none" w:sz="0" w:space="0" w:color="auto"/>
        <w:bottom w:val="none" w:sz="0" w:space="0" w:color="auto"/>
        <w:right w:val="none" w:sz="0" w:space="0" w:color="auto"/>
      </w:divBdr>
    </w:div>
    <w:div w:id="813064832">
      <w:bodyDiv w:val="1"/>
      <w:marLeft w:val="0"/>
      <w:marRight w:val="0"/>
      <w:marTop w:val="0"/>
      <w:marBottom w:val="0"/>
      <w:divBdr>
        <w:top w:val="none" w:sz="0" w:space="0" w:color="auto"/>
        <w:left w:val="none" w:sz="0" w:space="0" w:color="auto"/>
        <w:bottom w:val="none" w:sz="0" w:space="0" w:color="auto"/>
        <w:right w:val="none" w:sz="0" w:space="0" w:color="auto"/>
      </w:divBdr>
    </w:div>
    <w:div w:id="818494386">
      <w:bodyDiv w:val="1"/>
      <w:marLeft w:val="0"/>
      <w:marRight w:val="0"/>
      <w:marTop w:val="0"/>
      <w:marBottom w:val="0"/>
      <w:divBdr>
        <w:top w:val="none" w:sz="0" w:space="0" w:color="auto"/>
        <w:left w:val="none" w:sz="0" w:space="0" w:color="auto"/>
        <w:bottom w:val="none" w:sz="0" w:space="0" w:color="auto"/>
        <w:right w:val="none" w:sz="0" w:space="0" w:color="auto"/>
      </w:divBdr>
    </w:div>
    <w:div w:id="847989718">
      <w:bodyDiv w:val="1"/>
      <w:marLeft w:val="0"/>
      <w:marRight w:val="0"/>
      <w:marTop w:val="0"/>
      <w:marBottom w:val="0"/>
      <w:divBdr>
        <w:top w:val="none" w:sz="0" w:space="0" w:color="auto"/>
        <w:left w:val="none" w:sz="0" w:space="0" w:color="auto"/>
        <w:bottom w:val="none" w:sz="0" w:space="0" w:color="auto"/>
        <w:right w:val="none" w:sz="0" w:space="0" w:color="auto"/>
      </w:divBdr>
    </w:div>
    <w:div w:id="864562631">
      <w:bodyDiv w:val="1"/>
      <w:marLeft w:val="0"/>
      <w:marRight w:val="0"/>
      <w:marTop w:val="0"/>
      <w:marBottom w:val="0"/>
      <w:divBdr>
        <w:top w:val="none" w:sz="0" w:space="0" w:color="auto"/>
        <w:left w:val="none" w:sz="0" w:space="0" w:color="auto"/>
        <w:bottom w:val="none" w:sz="0" w:space="0" w:color="auto"/>
        <w:right w:val="none" w:sz="0" w:space="0" w:color="auto"/>
      </w:divBdr>
      <w:divsChild>
        <w:div w:id="2146003289">
          <w:marLeft w:val="1166"/>
          <w:marRight w:val="0"/>
          <w:marTop w:val="0"/>
          <w:marBottom w:val="0"/>
          <w:divBdr>
            <w:top w:val="none" w:sz="0" w:space="0" w:color="auto"/>
            <w:left w:val="none" w:sz="0" w:space="0" w:color="auto"/>
            <w:bottom w:val="none" w:sz="0" w:space="0" w:color="auto"/>
            <w:right w:val="none" w:sz="0" w:space="0" w:color="auto"/>
          </w:divBdr>
        </w:div>
      </w:divsChild>
    </w:div>
    <w:div w:id="911087179">
      <w:bodyDiv w:val="1"/>
      <w:marLeft w:val="0"/>
      <w:marRight w:val="0"/>
      <w:marTop w:val="0"/>
      <w:marBottom w:val="0"/>
      <w:divBdr>
        <w:top w:val="none" w:sz="0" w:space="0" w:color="auto"/>
        <w:left w:val="none" w:sz="0" w:space="0" w:color="auto"/>
        <w:bottom w:val="none" w:sz="0" w:space="0" w:color="auto"/>
        <w:right w:val="none" w:sz="0" w:space="0" w:color="auto"/>
      </w:divBdr>
    </w:div>
    <w:div w:id="927035746">
      <w:bodyDiv w:val="1"/>
      <w:marLeft w:val="0"/>
      <w:marRight w:val="0"/>
      <w:marTop w:val="0"/>
      <w:marBottom w:val="0"/>
      <w:divBdr>
        <w:top w:val="none" w:sz="0" w:space="0" w:color="auto"/>
        <w:left w:val="none" w:sz="0" w:space="0" w:color="auto"/>
        <w:bottom w:val="none" w:sz="0" w:space="0" w:color="auto"/>
        <w:right w:val="none" w:sz="0" w:space="0" w:color="auto"/>
      </w:divBdr>
    </w:div>
    <w:div w:id="950893733">
      <w:bodyDiv w:val="1"/>
      <w:marLeft w:val="0"/>
      <w:marRight w:val="0"/>
      <w:marTop w:val="0"/>
      <w:marBottom w:val="0"/>
      <w:divBdr>
        <w:top w:val="none" w:sz="0" w:space="0" w:color="auto"/>
        <w:left w:val="none" w:sz="0" w:space="0" w:color="auto"/>
        <w:bottom w:val="none" w:sz="0" w:space="0" w:color="auto"/>
        <w:right w:val="none" w:sz="0" w:space="0" w:color="auto"/>
      </w:divBdr>
    </w:div>
    <w:div w:id="980503374">
      <w:bodyDiv w:val="1"/>
      <w:marLeft w:val="0"/>
      <w:marRight w:val="0"/>
      <w:marTop w:val="0"/>
      <w:marBottom w:val="0"/>
      <w:divBdr>
        <w:top w:val="none" w:sz="0" w:space="0" w:color="auto"/>
        <w:left w:val="none" w:sz="0" w:space="0" w:color="auto"/>
        <w:bottom w:val="none" w:sz="0" w:space="0" w:color="auto"/>
        <w:right w:val="none" w:sz="0" w:space="0" w:color="auto"/>
      </w:divBdr>
    </w:div>
    <w:div w:id="991131792">
      <w:bodyDiv w:val="1"/>
      <w:marLeft w:val="0"/>
      <w:marRight w:val="0"/>
      <w:marTop w:val="0"/>
      <w:marBottom w:val="0"/>
      <w:divBdr>
        <w:top w:val="none" w:sz="0" w:space="0" w:color="auto"/>
        <w:left w:val="none" w:sz="0" w:space="0" w:color="auto"/>
        <w:bottom w:val="none" w:sz="0" w:space="0" w:color="auto"/>
        <w:right w:val="none" w:sz="0" w:space="0" w:color="auto"/>
      </w:divBdr>
    </w:div>
    <w:div w:id="1043674905">
      <w:bodyDiv w:val="1"/>
      <w:marLeft w:val="0"/>
      <w:marRight w:val="0"/>
      <w:marTop w:val="0"/>
      <w:marBottom w:val="0"/>
      <w:divBdr>
        <w:top w:val="none" w:sz="0" w:space="0" w:color="auto"/>
        <w:left w:val="none" w:sz="0" w:space="0" w:color="auto"/>
        <w:bottom w:val="none" w:sz="0" w:space="0" w:color="auto"/>
        <w:right w:val="none" w:sz="0" w:space="0" w:color="auto"/>
      </w:divBdr>
    </w:div>
    <w:div w:id="1046946898">
      <w:bodyDiv w:val="1"/>
      <w:marLeft w:val="0"/>
      <w:marRight w:val="0"/>
      <w:marTop w:val="0"/>
      <w:marBottom w:val="0"/>
      <w:divBdr>
        <w:top w:val="none" w:sz="0" w:space="0" w:color="auto"/>
        <w:left w:val="none" w:sz="0" w:space="0" w:color="auto"/>
        <w:bottom w:val="none" w:sz="0" w:space="0" w:color="auto"/>
        <w:right w:val="none" w:sz="0" w:space="0" w:color="auto"/>
      </w:divBdr>
    </w:div>
    <w:div w:id="1081029244">
      <w:bodyDiv w:val="1"/>
      <w:marLeft w:val="0"/>
      <w:marRight w:val="0"/>
      <w:marTop w:val="0"/>
      <w:marBottom w:val="0"/>
      <w:divBdr>
        <w:top w:val="none" w:sz="0" w:space="0" w:color="auto"/>
        <w:left w:val="none" w:sz="0" w:space="0" w:color="auto"/>
        <w:bottom w:val="none" w:sz="0" w:space="0" w:color="auto"/>
        <w:right w:val="none" w:sz="0" w:space="0" w:color="auto"/>
      </w:divBdr>
    </w:div>
    <w:div w:id="1089929908">
      <w:bodyDiv w:val="1"/>
      <w:marLeft w:val="0"/>
      <w:marRight w:val="0"/>
      <w:marTop w:val="0"/>
      <w:marBottom w:val="0"/>
      <w:divBdr>
        <w:top w:val="none" w:sz="0" w:space="0" w:color="auto"/>
        <w:left w:val="none" w:sz="0" w:space="0" w:color="auto"/>
        <w:bottom w:val="none" w:sz="0" w:space="0" w:color="auto"/>
        <w:right w:val="none" w:sz="0" w:space="0" w:color="auto"/>
      </w:divBdr>
    </w:div>
    <w:div w:id="1090084053">
      <w:bodyDiv w:val="1"/>
      <w:marLeft w:val="0"/>
      <w:marRight w:val="0"/>
      <w:marTop w:val="0"/>
      <w:marBottom w:val="0"/>
      <w:divBdr>
        <w:top w:val="none" w:sz="0" w:space="0" w:color="auto"/>
        <w:left w:val="none" w:sz="0" w:space="0" w:color="auto"/>
        <w:bottom w:val="none" w:sz="0" w:space="0" w:color="auto"/>
        <w:right w:val="none" w:sz="0" w:space="0" w:color="auto"/>
      </w:divBdr>
    </w:div>
    <w:div w:id="1111632010">
      <w:bodyDiv w:val="1"/>
      <w:marLeft w:val="0"/>
      <w:marRight w:val="0"/>
      <w:marTop w:val="0"/>
      <w:marBottom w:val="0"/>
      <w:divBdr>
        <w:top w:val="none" w:sz="0" w:space="0" w:color="auto"/>
        <w:left w:val="none" w:sz="0" w:space="0" w:color="auto"/>
        <w:bottom w:val="none" w:sz="0" w:space="0" w:color="auto"/>
        <w:right w:val="none" w:sz="0" w:space="0" w:color="auto"/>
      </w:divBdr>
    </w:div>
    <w:div w:id="1135832057">
      <w:bodyDiv w:val="1"/>
      <w:marLeft w:val="0"/>
      <w:marRight w:val="0"/>
      <w:marTop w:val="0"/>
      <w:marBottom w:val="0"/>
      <w:divBdr>
        <w:top w:val="none" w:sz="0" w:space="0" w:color="auto"/>
        <w:left w:val="none" w:sz="0" w:space="0" w:color="auto"/>
        <w:bottom w:val="none" w:sz="0" w:space="0" w:color="auto"/>
        <w:right w:val="none" w:sz="0" w:space="0" w:color="auto"/>
      </w:divBdr>
    </w:div>
    <w:div w:id="1150705633">
      <w:bodyDiv w:val="1"/>
      <w:marLeft w:val="0"/>
      <w:marRight w:val="0"/>
      <w:marTop w:val="0"/>
      <w:marBottom w:val="0"/>
      <w:divBdr>
        <w:top w:val="none" w:sz="0" w:space="0" w:color="auto"/>
        <w:left w:val="none" w:sz="0" w:space="0" w:color="auto"/>
        <w:bottom w:val="none" w:sz="0" w:space="0" w:color="auto"/>
        <w:right w:val="none" w:sz="0" w:space="0" w:color="auto"/>
      </w:divBdr>
    </w:div>
    <w:div w:id="1156453531">
      <w:bodyDiv w:val="1"/>
      <w:marLeft w:val="0"/>
      <w:marRight w:val="0"/>
      <w:marTop w:val="0"/>
      <w:marBottom w:val="0"/>
      <w:divBdr>
        <w:top w:val="none" w:sz="0" w:space="0" w:color="auto"/>
        <w:left w:val="none" w:sz="0" w:space="0" w:color="auto"/>
        <w:bottom w:val="none" w:sz="0" w:space="0" w:color="auto"/>
        <w:right w:val="none" w:sz="0" w:space="0" w:color="auto"/>
      </w:divBdr>
    </w:div>
    <w:div w:id="1179075976">
      <w:bodyDiv w:val="1"/>
      <w:marLeft w:val="0"/>
      <w:marRight w:val="0"/>
      <w:marTop w:val="0"/>
      <w:marBottom w:val="0"/>
      <w:divBdr>
        <w:top w:val="none" w:sz="0" w:space="0" w:color="auto"/>
        <w:left w:val="none" w:sz="0" w:space="0" w:color="auto"/>
        <w:bottom w:val="none" w:sz="0" w:space="0" w:color="auto"/>
        <w:right w:val="none" w:sz="0" w:space="0" w:color="auto"/>
      </w:divBdr>
    </w:div>
    <w:div w:id="1225071137">
      <w:bodyDiv w:val="1"/>
      <w:marLeft w:val="0"/>
      <w:marRight w:val="0"/>
      <w:marTop w:val="0"/>
      <w:marBottom w:val="0"/>
      <w:divBdr>
        <w:top w:val="none" w:sz="0" w:space="0" w:color="auto"/>
        <w:left w:val="none" w:sz="0" w:space="0" w:color="auto"/>
        <w:bottom w:val="none" w:sz="0" w:space="0" w:color="auto"/>
        <w:right w:val="none" w:sz="0" w:space="0" w:color="auto"/>
      </w:divBdr>
    </w:div>
    <w:div w:id="1233273457">
      <w:bodyDiv w:val="1"/>
      <w:marLeft w:val="0"/>
      <w:marRight w:val="0"/>
      <w:marTop w:val="0"/>
      <w:marBottom w:val="0"/>
      <w:divBdr>
        <w:top w:val="none" w:sz="0" w:space="0" w:color="auto"/>
        <w:left w:val="none" w:sz="0" w:space="0" w:color="auto"/>
        <w:bottom w:val="none" w:sz="0" w:space="0" w:color="auto"/>
        <w:right w:val="none" w:sz="0" w:space="0" w:color="auto"/>
      </w:divBdr>
    </w:div>
    <w:div w:id="1250308980">
      <w:bodyDiv w:val="1"/>
      <w:marLeft w:val="0"/>
      <w:marRight w:val="0"/>
      <w:marTop w:val="0"/>
      <w:marBottom w:val="0"/>
      <w:divBdr>
        <w:top w:val="none" w:sz="0" w:space="0" w:color="auto"/>
        <w:left w:val="none" w:sz="0" w:space="0" w:color="auto"/>
        <w:bottom w:val="none" w:sz="0" w:space="0" w:color="auto"/>
        <w:right w:val="none" w:sz="0" w:space="0" w:color="auto"/>
      </w:divBdr>
    </w:div>
    <w:div w:id="1261715829">
      <w:bodyDiv w:val="1"/>
      <w:marLeft w:val="0"/>
      <w:marRight w:val="0"/>
      <w:marTop w:val="0"/>
      <w:marBottom w:val="0"/>
      <w:divBdr>
        <w:top w:val="none" w:sz="0" w:space="0" w:color="auto"/>
        <w:left w:val="none" w:sz="0" w:space="0" w:color="auto"/>
        <w:bottom w:val="none" w:sz="0" w:space="0" w:color="auto"/>
        <w:right w:val="none" w:sz="0" w:space="0" w:color="auto"/>
      </w:divBdr>
      <w:divsChild>
        <w:div w:id="965966548">
          <w:marLeft w:val="446"/>
          <w:marRight w:val="0"/>
          <w:marTop w:val="0"/>
          <w:marBottom w:val="120"/>
          <w:divBdr>
            <w:top w:val="none" w:sz="0" w:space="0" w:color="auto"/>
            <w:left w:val="none" w:sz="0" w:space="0" w:color="auto"/>
            <w:bottom w:val="none" w:sz="0" w:space="0" w:color="auto"/>
            <w:right w:val="none" w:sz="0" w:space="0" w:color="auto"/>
          </w:divBdr>
        </w:div>
      </w:divsChild>
    </w:div>
    <w:div w:id="1281841834">
      <w:bodyDiv w:val="1"/>
      <w:marLeft w:val="0"/>
      <w:marRight w:val="0"/>
      <w:marTop w:val="0"/>
      <w:marBottom w:val="0"/>
      <w:divBdr>
        <w:top w:val="none" w:sz="0" w:space="0" w:color="auto"/>
        <w:left w:val="none" w:sz="0" w:space="0" w:color="auto"/>
        <w:bottom w:val="none" w:sz="0" w:space="0" w:color="auto"/>
        <w:right w:val="none" w:sz="0" w:space="0" w:color="auto"/>
      </w:divBdr>
    </w:div>
    <w:div w:id="1286230742">
      <w:bodyDiv w:val="1"/>
      <w:marLeft w:val="0"/>
      <w:marRight w:val="0"/>
      <w:marTop w:val="0"/>
      <w:marBottom w:val="0"/>
      <w:divBdr>
        <w:top w:val="none" w:sz="0" w:space="0" w:color="auto"/>
        <w:left w:val="none" w:sz="0" w:space="0" w:color="auto"/>
        <w:bottom w:val="none" w:sz="0" w:space="0" w:color="auto"/>
        <w:right w:val="none" w:sz="0" w:space="0" w:color="auto"/>
      </w:divBdr>
    </w:div>
    <w:div w:id="1290088649">
      <w:bodyDiv w:val="1"/>
      <w:marLeft w:val="0"/>
      <w:marRight w:val="0"/>
      <w:marTop w:val="0"/>
      <w:marBottom w:val="0"/>
      <w:divBdr>
        <w:top w:val="none" w:sz="0" w:space="0" w:color="auto"/>
        <w:left w:val="none" w:sz="0" w:space="0" w:color="auto"/>
        <w:bottom w:val="none" w:sz="0" w:space="0" w:color="auto"/>
        <w:right w:val="none" w:sz="0" w:space="0" w:color="auto"/>
      </w:divBdr>
    </w:div>
    <w:div w:id="1297295596">
      <w:bodyDiv w:val="1"/>
      <w:marLeft w:val="0"/>
      <w:marRight w:val="0"/>
      <w:marTop w:val="0"/>
      <w:marBottom w:val="0"/>
      <w:divBdr>
        <w:top w:val="none" w:sz="0" w:space="0" w:color="auto"/>
        <w:left w:val="none" w:sz="0" w:space="0" w:color="auto"/>
        <w:bottom w:val="none" w:sz="0" w:space="0" w:color="auto"/>
        <w:right w:val="none" w:sz="0" w:space="0" w:color="auto"/>
      </w:divBdr>
    </w:div>
    <w:div w:id="1305309565">
      <w:bodyDiv w:val="1"/>
      <w:marLeft w:val="0"/>
      <w:marRight w:val="0"/>
      <w:marTop w:val="0"/>
      <w:marBottom w:val="0"/>
      <w:divBdr>
        <w:top w:val="none" w:sz="0" w:space="0" w:color="auto"/>
        <w:left w:val="none" w:sz="0" w:space="0" w:color="auto"/>
        <w:bottom w:val="none" w:sz="0" w:space="0" w:color="auto"/>
        <w:right w:val="none" w:sz="0" w:space="0" w:color="auto"/>
      </w:divBdr>
    </w:div>
    <w:div w:id="1318731815">
      <w:bodyDiv w:val="1"/>
      <w:marLeft w:val="0"/>
      <w:marRight w:val="0"/>
      <w:marTop w:val="0"/>
      <w:marBottom w:val="0"/>
      <w:divBdr>
        <w:top w:val="none" w:sz="0" w:space="0" w:color="auto"/>
        <w:left w:val="none" w:sz="0" w:space="0" w:color="auto"/>
        <w:bottom w:val="none" w:sz="0" w:space="0" w:color="auto"/>
        <w:right w:val="none" w:sz="0" w:space="0" w:color="auto"/>
      </w:divBdr>
    </w:div>
    <w:div w:id="1324622690">
      <w:bodyDiv w:val="1"/>
      <w:marLeft w:val="0"/>
      <w:marRight w:val="0"/>
      <w:marTop w:val="0"/>
      <w:marBottom w:val="0"/>
      <w:divBdr>
        <w:top w:val="none" w:sz="0" w:space="0" w:color="auto"/>
        <w:left w:val="none" w:sz="0" w:space="0" w:color="auto"/>
        <w:bottom w:val="none" w:sz="0" w:space="0" w:color="auto"/>
        <w:right w:val="none" w:sz="0" w:space="0" w:color="auto"/>
      </w:divBdr>
    </w:div>
    <w:div w:id="1336344837">
      <w:bodyDiv w:val="1"/>
      <w:marLeft w:val="0"/>
      <w:marRight w:val="0"/>
      <w:marTop w:val="0"/>
      <w:marBottom w:val="0"/>
      <w:divBdr>
        <w:top w:val="none" w:sz="0" w:space="0" w:color="auto"/>
        <w:left w:val="none" w:sz="0" w:space="0" w:color="auto"/>
        <w:bottom w:val="none" w:sz="0" w:space="0" w:color="auto"/>
        <w:right w:val="none" w:sz="0" w:space="0" w:color="auto"/>
      </w:divBdr>
    </w:div>
    <w:div w:id="1359963239">
      <w:bodyDiv w:val="1"/>
      <w:marLeft w:val="0"/>
      <w:marRight w:val="0"/>
      <w:marTop w:val="0"/>
      <w:marBottom w:val="0"/>
      <w:divBdr>
        <w:top w:val="none" w:sz="0" w:space="0" w:color="auto"/>
        <w:left w:val="none" w:sz="0" w:space="0" w:color="auto"/>
        <w:bottom w:val="none" w:sz="0" w:space="0" w:color="auto"/>
        <w:right w:val="none" w:sz="0" w:space="0" w:color="auto"/>
      </w:divBdr>
    </w:div>
    <w:div w:id="1377850204">
      <w:bodyDiv w:val="1"/>
      <w:marLeft w:val="0"/>
      <w:marRight w:val="0"/>
      <w:marTop w:val="0"/>
      <w:marBottom w:val="0"/>
      <w:divBdr>
        <w:top w:val="none" w:sz="0" w:space="0" w:color="auto"/>
        <w:left w:val="none" w:sz="0" w:space="0" w:color="auto"/>
        <w:bottom w:val="none" w:sz="0" w:space="0" w:color="auto"/>
        <w:right w:val="none" w:sz="0" w:space="0" w:color="auto"/>
      </w:divBdr>
    </w:div>
    <w:div w:id="1444615945">
      <w:bodyDiv w:val="1"/>
      <w:marLeft w:val="0"/>
      <w:marRight w:val="0"/>
      <w:marTop w:val="0"/>
      <w:marBottom w:val="0"/>
      <w:divBdr>
        <w:top w:val="none" w:sz="0" w:space="0" w:color="auto"/>
        <w:left w:val="none" w:sz="0" w:space="0" w:color="auto"/>
        <w:bottom w:val="none" w:sz="0" w:space="0" w:color="auto"/>
        <w:right w:val="none" w:sz="0" w:space="0" w:color="auto"/>
      </w:divBdr>
      <w:divsChild>
        <w:div w:id="1786844367">
          <w:marLeft w:val="1166"/>
          <w:marRight w:val="0"/>
          <w:marTop w:val="0"/>
          <w:marBottom w:val="0"/>
          <w:divBdr>
            <w:top w:val="none" w:sz="0" w:space="0" w:color="auto"/>
            <w:left w:val="none" w:sz="0" w:space="0" w:color="auto"/>
            <w:bottom w:val="none" w:sz="0" w:space="0" w:color="auto"/>
            <w:right w:val="none" w:sz="0" w:space="0" w:color="auto"/>
          </w:divBdr>
        </w:div>
      </w:divsChild>
    </w:div>
    <w:div w:id="1450395865">
      <w:bodyDiv w:val="1"/>
      <w:marLeft w:val="0"/>
      <w:marRight w:val="0"/>
      <w:marTop w:val="0"/>
      <w:marBottom w:val="0"/>
      <w:divBdr>
        <w:top w:val="none" w:sz="0" w:space="0" w:color="auto"/>
        <w:left w:val="none" w:sz="0" w:space="0" w:color="auto"/>
        <w:bottom w:val="none" w:sz="0" w:space="0" w:color="auto"/>
        <w:right w:val="none" w:sz="0" w:space="0" w:color="auto"/>
      </w:divBdr>
    </w:div>
    <w:div w:id="1469474751">
      <w:bodyDiv w:val="1"/>
      <w:marLeft w:val="0"/>
      <w:marRight w:val="0"/>
      <w:marTop w:val="0"/>
      <w:marBottom w:val="0"/>
      <w:divBdr>
        <w:top w:val="none" w:sz="0" w:space="0" w:color="auto"/>
        <w:left w:val="none" w:sz="0" w:space="0" w:color="auto"/>
        <w:bottom w:val="none" w:sz="0" w:space="0" w:color="auto"/>
        <w:right w:val="none" w:sz="0" w:space="0" w:color="auto"/>
      </w:divBdr>
      <w:divsChild>
        <w:div w:id="437797193">
          <w:marLeft w:val="1166"/>
          <w:marRight w:val="0"/>
          <w:marTop w:val="0"/>
          <w:marBottom w:val="0"/>
          <w:divBdr>
            <w:top w:val="none" w:sz="0" w:space="0" w:color="auto"/>
            <w:left w:val="none" w:sz="0" w:space="0" w:color="auto"/>
            <w:bottom w:val="none" w:sz="0" w:space="0" w:color="auto"/>
            <w:right w:val="none" w:sz="0" w:space="0" w:color="auto"/>
          </w:divBdr>
        </w:div>
        <w:div w:id="2049597365">
          <w:marLeft w:val="1166"/>
          <w:marRight w:val="0"/>
          <w:marTop w:val="0"/>
          <w:marBottom w:val="0"/>
          <w:divBdr>
            <w:top w:val="none" w:sz="0" w:space="0" w:color="auto"/>
            <w:left w:val="none" w:sz="0" w:space="0" w:color="auto"/>
            <w:bottom w:val="none" w:sz="0" w:space="0" w:color="auto"/>
            <w:right w:val="none" w:sz="0" w:space="0" w:color="auto"/>
          </w:divBdr>
        </w:div>
      </w:divsChild>
    </w:div>
    <w:div w:id="1492990882">
      <w:bodyDiv w:val="1"/>
      <w:marLeft w:val="0"/>
      <w:marRight w:val="0"/>
      <w:marTop w:val="0"/>
      <w:marBottom w:val="0"/>
      <w:divBdr>
        <w:top w:val="none" w:sz="0" w:space="0" w:color="auto"/>
        <w:left w:val="none" w:sz="0" w:space="0" w:color="auto"/>
        <w:bottom w:val="none" w:sz="0" w:space="0" w:color="auto"/>
        <w:right w:val="none" w:sz="0" w:space="0" w:color="auto"/>
      </w:divBdr>
    </w:div>
    <w:div w:id="1508790881">
      <w:bodyDiv w:val="1"/>
      <w:marLeft w:val="0"/>
      <w:marRight w:val="0"/>
      <w:marTop w:val="0"/>
      <w:marBottom w:val="0"/>
      <w:divBdr>
        <w:top w:val="none" w:sz="0" w:space="0" w:color="auto"/>
        <w:left w:val="none" w:sz="0" w:space="0" w:color="auto"/>
        <w:bottom w:val="none" w:sz="0" w:space="0" w:color="auto"/>
        <w:right w:val="none" w:sz="0" w:space="0" w:color="auto"/>
      </w:divBdr>
    </w:div>
    <w:div w:id="1511677461">
      <w:bodyDiv w:val="1"/>
      <w:marLeft w:val="0"/>
      <w:marRight w:val="0"/>
      <w:marTop w:val="0"/>
      <w:marBottom w:val="0"/>
      <w:divBdr>
        <w:top w:val="none" w:sz="0" w:space="0" w:color="auto"/>
        <w:left w:val="none" w:sz="0" w:space="0" w:color="auto"/>
        <w:bottom w:val="none" w:sz="0" w:space="0" w:color="auto"/>
        <w:right w:val="none" w:sz="0" w:space="0" w:color="auto"/>
      </w:divBdr>
    </w:div>
    <w:div w:id="1541554415">
      <w:bodyDiv w:val="1"/>
      <w:marLeft w:val="0"/>
      <w:marRight w:val="0"/>
      <w:marTop w:val="0"/>
      <w:marBottom w:val="0"/>
      <w:divBdr>
        <w:top w:val="none" w:sz="0" w:space="0" w:color="auto"/>
        <w:left w:val="none" w:sz="0" w:space="0" w:color="auto"/>
        <w:bottom w:val="none" w:sz="0" w:space="0" w:color="auto"/>
        <w:right w:val="none" w:sz="0" w:space="0" w:color="auto"/>
      </w:divBdr>
    </w:div>
    <w:div w:id="1566646985">
      <w:bodyDiv w:val="1"/>
      <w:marLeft w:val="0"/>
      <w:marRight w:val="0"/>
      <w:marTop w:val="0"/>
      <w:marBottom w:val="0"/>
      <w:divBdr>
        <w:top w:val="none" w:sz="0" w:space="0" w:color="auto"/>
        <w:left w:val="none" w:sz="0" w:space="0" w:color="auto"/>
        <w:bottom w:val="none" w:sz="0" w:space="0" w:color="auto"/>
        <w:right w:val="none" w:sz="0" w:space="0" w:color="auto"/>
      </w:divBdr>
    </w:div>
    <w:div w:id="1569923258">
      <w:bodyDiv w:val="1"/>
      <w:marLeft w:val="0"/>
      <w:marRight w:val="0"/>
      <w:marTop w:val="0"/>
      <w:marBottom w:val="0"/>
      <w:divBdr>
        <w:top w:val="none" w:sz="0" w:space="0" w:color="auto"/>
        <w:left w:val="none" w:sz="0" w:space="0" w:color="auto"/>
        <w:bottom w:val="none" w:sz="0" w:space="0" w:color="auto"/>
        <w:right w:val="none" w:sz="0" w:space="0" w:color="auto"/>
      </w:divBdr>
    </w:div>
    <w:div w:id="1573468642">
      <w:bodyDiv w:val="1"/>
      <w:marLeft w:val="0"/>
      <w:marRight w:val="0"/>
      <w:marTop w:val="0"/>
      <w:marBottom w:val="0"/>
      <w:divBdr>
        <w:top w:val="none" w:sz="0" w:space="0" w:color="auto"/>
        <w:left w:val="none" w:sz="0" w:space="0" w:color="auto"/>
        <w:bottom w:val="none" w:sz="0" w:space="0" w:color="auto"/>
        <w:right w:val="none" w:sz="0" w:space="0" w:color="auto"/>
      </w:divBdr>
    </w:div>
    <w:div w:id="1594360835">
      <w:bodyDiv w:val="1"/>
      <w:marLeft w:val="0"/>
      <w:marRight w:val="0"/>
      <w:marTop w:val="0"/>
      <w:marBottom w:val="0"/>
      <w:divBdr>
        <w:top w:val="none" w:sz="0" w:space="0" w:color="auto"/>
        <w:left w:val="none" w:sz="0" w:space="0" w:color="auto"/>
        <w:bottom w:val="none" w:sz="0" w:space="0" w:color="auto"/>
        <w:right w:val="none" w:sz="0" w:space="0" w:color="auto"/>
      </w:divBdr>
      <w:divsChild>
        <w:div w:id="1929730530">
          <w:marLeft w:val="0"/>
          <w:marRight w:val="0"/>
          <w:marTop w:val="0"/>
          <w:marBottom w:val="0"/>
          <w:divBdr>
            <w:top w:val="none" w:sz="0" w:space="0" w:color="auto"/>
            <w:left w:val="none" w:sz="0" w:space="0" w:color="auto"/>
            <w:bottom w:val="none" w:sz="0" w:space="0" w:color="auto"/>
            <w:right w:val="none" w:sz="0" w:space="0" w:color="auto"/>
          </w:divBdr>
        </w:div>
      </w:divsChild>
    </w:div>
    <w:div w:id="1602638074">
      <w:bodyDiv w:val="1"/>
      <w:marLeft w:val="0"/>
      <w:marRight w:val="0"/>
      <w:marTop w:val="0"/>
      <w:marBottom w:val="0"/>
      <w:divBdr>
        <w:top w:val="none" w:sz="0" w:space="0" w:color="auto"/>
        <w:left w:val="none" w:sz="0" w:space="0" w:color="auto"/>
        <w:bottom w:val="none" w:sz="0" w:space="0" w:color="auto"/>
        <w:right w:val="none" w:sz="0" w:space="0" w:color="auto"/>
      </w:divBdr>
    </w:div>
    <w:div w:id="1644389886">
      <w:bodyDiv w:val="1"/>
      <w:marLeft w:val="0"/>
      <w:marRight w:val="0"/>
      <w:marTop w:val="0"/>
      <w:marBottom w:val="0"/>
      <w:divBdr>
        <w:top w:val="none" w:sz="0" w:space="0" w:color="auto"/>
        <w:left w:val="none" w:sz="0" w:space="0" w:color="auto"/>
        <w:bottom w:val="none" w:sz="0" w:space="0" w:color="auto"/>
        <w:right w:val="none" w:sz="0" w:space="0" w:color="auto"/>
      </w:divBdr>
    </w:div>
    <w:div w:id="1648586681">
      <w:bodyDiv w:val="1"/>
      <w:marLeft w:val="0"/>
      <w:marRight w:val="0"/>
      <w:marTop w:val="0"/>
      <w:marBottom w:val="0"/>
      <w:divBdr>
        <w:top w:val="none" w:sz="0" w:space="0" w:color="auto"/>
        <w:left w:val="none" w:sz="0" w:space="0" w:color="auto"/>
        <w:bottom w:val="none" w:sz="0" w:space="0" w:color="auto"/>
        <w:right w:val="none" w:sz="0" w:space="0" w:color="auto"/>
      </w:divBdr>
    </w:div>
    <w:div w:id="1656034659">
      <w:bodyDiv w:val="1"/>
      <w:marLeft w:val="0"/>
      <w:marRight w:val="0"/>
      <w:marTop w:val="0"/>
      <w:marBottom w:val="0"/>
      <w:divBdr>
        <w:top w:val="none" w:sz="0" w:space="0" w:color="auto"/>
        <w:left w:val="none" w:sz="0" w:space="0" w:color="auto"/>
        <w:bottom w:val="none" w:sz="0" w:space="0" w:color="auto"/>
        <w:right w:val="none" w:sz="0" w:space="0" w:color="auto"/>
      </w:divBdr>
    </w:div>
    <w:div w:id="1658145559">
      <w:bodyDiv w:val="1"/>
      <w:marLeft w:val="0"/>
      <w:marRight w:val="0"/>
      <w:marTop w:val="0"/>
      <w:marBottom w:val="0"/>
      <w:divBdr>
        <w:top w:val="none" w:sz="0" w:space="0" w:color="auto"/>
        <w:left w:val="none" w:sz="0" w:space="0" w:color="auto"/>
        <w:bottom w:val="none" w:sz="0" w:space="0" w:color="auto"/>
        <w:right w:val="none" w:sz="0" w:space="0" w:color="auto"/>
      </w:divBdr>
    </w:div>
    <w:div w:id="1694768069">
      <w:bodyDiv w:val="1"/>
      <w:marLeft w:val="0"/>
      <w:marRight w:val="0"/>
      <w:marTop w:val="0"/>
      <w:marBottom w:val="0"/>
      <w:divBdr>
        <w:top w:val="none" w:sz="0" w:space="0" w:color="auto"/>
        <w:left w:val="none" w:sz="0" w:space="0" w:color="auto"/>
        <w:bottom w:val="none" w:sz="0" w:space="0" w:color="auto"/>
        <w:right w:val="none" w:sz="0" w:space="0" w:color="auto"/>
      </w:divBdr>
    </w:div>
    <w:div w:id="1711950196">
      <w:bodyDiv w:val="1"/>
      <w:marLeft w:val="0"/>
      <w:marRight w:val="0"/>
      <w:marTop w:val="0"/>
      <w:marBottom w:val="0"/>
      <w:divBdr>
        <w:top w:val="none" w:sz="0" w:space="0" w:color="auto"/>
        <w:left w:val="none" w:sz="0" w:space="0" w:color="auto"/>
        <w:bottom w:val="none" w:sz="0" w:space="0" w:color="auto"/>
        <w:right w:val="none" w:sz="0" w:space="0" w:color="auto"/>
      </w:divBdr>
    </w:div>
    <w:div w:id="1734695292">
      <w:bodyDiv w:val="1"/>
      <w:marLeft w:val="0"/>
      <w:marRight w:val="0"/>
      <w:marTop w:val="0"/>
      <w:marBottom w:val="0"/>
      <w:divBdr>
        <w:top w:val="none" w:sz="0" w:space="0" w:color="auto"/>
        <w:left w:val="none" w:sz="0" w:space="0" w:color="auto"/>
        <w:bottom w:val="none" w:sz="0" w:space="0" w:color="auto"/>
        <w:right w:val="none" w:sz="0" w:space="0" w:color="auto"/>
      </w:divBdr>
    </w:div>
    <w:div w:id="1741827203">
      <w:bodyDiv w:val="1"/>
      <w:marLeft w:val="0"/>
      <w:marRight w:val="0"/>
      <w:marTop w:val="0"/>
      <w:marBottom w:val="0"/>
      <w:divBdr>
        <w:top w:val="none" w:sz="0" w:space="0" w:color="auto"/>
        <w:left w:val="none" w:sz="0" w:space="0" w:color="auto"/>
        <w:bottom w:val="none" w:sz="0" w:space="0" w:color="auto"/>
        <w:right w:val="none" w:sz="0" w:space="0" w:color="auto"/>
      </w:divBdr>
    </w:div>
    <w:div w:id="1743333024">
      <w:bodyDiv w:val="1"/>
      <w:marLeft w:val="0"/>
      <w:marRight w:val="0"/>
      <w:marTop w:val="0"/>
      <w:marBottom w:val="0"/>
      <w:divBdr>
        <w:top w:val="none" w:sz="0" w:space="0" w:color="auto"/>
        <w:left w:val="none" w:sz="0" w:space="0" w:color="auto"/>
        <w:bottom w:val="none" w:sz="0" w:space="0" w:color="auto"/>
        <w:right w:val="none" w:sz="0" w:space="0" w:color="auto"/>
      </w:divBdr>
    </w:div>
    <w:div w:id="1786542128">
      <w:bodyDiv w:val="1"/>
      <w:marLeft w:val="0"/>
      <w:marRight w:val="0"/>
      <w:marTop w:val="0"/>
      <w:marBottom w:val="0"/>
      <w:divBdr>
        <w:top w:val="none" w:sz="0" w:space="0" w:color="auto"/>
        <w:left w:val="none" w:sz="0" w:space="0" w:color="auto"/>
        <w:bottom w:val="none" w:sz="0" w:space="0" w:color="auto"/>
        <w:right w:val="none" w:sz="0" w:space="0" w:color="auto"/>
      </w:divBdr>
    </w:div>
    <w:div w:id="1813331669">
      <w:bodyDiv w:val="1"/>
      <w:marLeft w:val="0"/>
      <w:marRight w:val="0"/>
      <w:marTop w:val="0"/>
      <w:marBottom w:val="0"/>
      <w:divBdr>
        <w:top w:val="none" w:sz="0" w:space="0" w:color="auto"/>
        <w:left w:val="none" w:sz="0" w:space="0" w:color="auto"/>
        <w:bottom w:val="none" w:sz="0" w:space="0" w:color="auto"/>
        <w:right w:val="none" w:sz="0" w:space="0" w:color="auto"/>
      </w:divBdr>
    </w:div>
    <w:div w:id="1825926797">
      <w:bodyDiv w:val="1"/>
      <w:marLeft w:val="0"/>
      <w:marRight w:val="0"/>
      <w:marTop w:val="0"/>
      <w:marBottom w:val="0"/>
      <w:divBdr>
        <w:top w:val="none" w:sz="0" w:space="0" w:color="auto"/>
        <w:left w:val="none" w:sz="0" w:space="0" w:color="auto"/>
        <w:bottom w:val="none" w:sz="0" w:space="0" w:color="auto"/>
        <w:right w:val="none" w:sz="0" w:space="0" w:color="auto"/>
      </w:divBdr>
    </w:div>
    <w:div w:id="1853297178">
      <w:bodyDiv w:val="1"/>
      <w:marLeft w:val="0"/>
      <w:marRight w:val="0"/>
      <w:marTop w:val="0"/>
      <w:marBottom w:val="0"/>
      <w:divBdr>
        <w:top w:val="none" w:sz="0" w:space="0" w:color="auto"/>
        <w:left w:val="none" w:sz="0" w:space="0" w:color="auto"/>
        <w:bottom w:val="none" w:sz="0" w:space="0" w:color="auto"/>
        <w:right w:val="none" w:sz="0" w:space="0" w:color="auto"/>
      </w:divBdr>
    </w:div>
    <w:div w:id="1865941123">
      <w:bodyDiv w:val="1"/>
      <w:marLeft w:val="0"/>
      <w:marRight w:val="0"/>
      <w:marTop w:val="0"/>
      <w:marBottom w:val="0"/>
      <w:divBdr>
        <w:top w:val="none" w:sz="0" w:space="0" w:color="auto"/>
        <w:left w:val="none" w:sz="0" w:space="0" w:color="auto"/>
        <w:bottom w:val="none" w:sz="0" w:space="0" w:color="auto"/>
        <w:right w:val="none" w:sz="0" w:space="0" w:color="auto"/>
      </w:divBdr>
    </w:div>
    <w:div w:id="1875846555">
      <w:bodyDiv w:val="1"/>
      <w:marLeft w:val="0"/>
      <w:marRight w:val="0"/>
      <w:marTop w:val="0"/>
      <w:marBottom w:val="0"/>
      <w:divBdr>
        <w:top w:val="none" w:sz="0" w:space="0" w:color="auto"/>
        <w:left w:val="none" w:sz="0" w:space="0" w:color="auto"/>
        <w:bottom w:val="none" w:sz="0" w:space="0" w:color="auto"/>
        <w:right w:val="none" w:sz="0" w:space="0" w:color="auto"/>
      </w:divBdr>
    </w:div>
    <w:div w:id="1885405510">
      <w:bodyDiv w:val="1"/>
      <w:marLeft w:val="0"/>
      <w:marRight w:val="0"/>
      <w:marTop w:val="0"/>
      <w:marBottom w:val="0"/>
      <w:divBdr>
        <w:top w:val="none" w:sz="0" w:space="0" w:color="auto"/>
        <w:left w:val="none" w:sz="0" w:space="0" w:color="auto"/>
        <w:bottom w:val="none" w:sz="0" w:space="0" w:color="auto"/>
        <w:right w:val="none" w:sz="0" w:space="0" w:color="auto"/>
      </w:divBdr>
    </w:div>
    <w:div w:id="1885828862">
      <w:bodyDiv w:val="1"/>
      <w:marLeft w:val="0"/>
      <w:marRight w:val="0"/>
      <w:marTop w:val="0"/>
      <w:marBottom w:val="0"/>
      <w:divBdr>
        <w:top w:val="none" w:sz="0" w:space="0" w:color="auto"/>
        <w:left w:val="none" w:sz="0" w:space="0" w:color="auto"/>
        <w:bottom w:val="none" w:sz="0" w:space="0" w:color="auto"/>
        <w:right w:val="none" w:sz="0" w:space="0" w:color="auto"/>
      </w:divBdr>
    </w:div>
    <w:div w:id="1895585437">
      <w:bodyDiv w:val="1"/>
      <w:marLeft w:val="0"/>
      <w:marRight w:val="0"/>
      <w:marTop w:val="0"/>
      <w:marBottom w:val="0"/>
      <w:divBdr>
        <w:top w:val="none" w:sz="0" w:space="0" w:color="auto"/>
        <w:left w:val="none" w:sz="0" w:space="0" w:color="auto"/>
        <w:bottom w:val="none" w:sz="0" w:space="0" w:color="auto"/>
        <w:right w:val="none" w:sz="0" w:space="0" w:color="auto"/>
      </w:divBdr>
    </w:div>
    <w:div w:id="1924023661">
      <w:bodyDiv w:val="1"/>
      <w:marLeft w:val="0"/>
      <w:marRight w:val="0"/>
      <w:marTop w:val="0"/>
      <w:marBottom w:val="0"/>
      <w:divBdr>
        <w:top w:val="none" w:sz="0" w:space="0" w:color="auto"/>
        <w:left w:val="none" w:sz="0" w:space="0" w:color="auto"/>
        <w:bottom w:val="none" w:sz="0" w:space="0" w:color="auto"/>
        <w:right w:val="none" w:sz="0" w:space="0" w:color="auto"/>
      </w:divBdr>
    </w:div>
    <w:div w:id="1926760191">
      <w:bodyDiv w:val="1"/>
      <w:marLeft w:val="0"/>
      <w:marRight w:val="0"/>
      <w:marTop w:val="0"/>
      <w:marBottom w:val="0"/>
      <w:divBdr>
        <w:top w:val="none" w:sz="0" w:space="0" w:color="auto"/>
        <w:left w:val="none" w:sz="0" w:space="0" w:color="auto"/>
        <w:bottom w:val="none" w:sz="0" w:space="0" w:color="auto"/>
        <w:right w:val="none" w:sz="0" w:space="0" w:color="auto"/>
      </w:divBdr>
    </w:div>
    <w:div w:id="1947735650">
      <w:bodyDiv w:val="1"/>
      <w:marLeft w:val="0"/>
      <w:marRight w:val="0"/>
      <w:marTop w:val="0"/>
      <w:marBottom w:val="0"/>
      <w:divBdr>
        <w:top w:val="none" w:sz="0" w:space="0" w:color="auto"/>
        <w:left w:val="none" w:sz="0" w:space="0" w:color="auto"/>
        <w:bottom w:val="none" w:sz="0" w:space="0" w:color="auto"/>
        <w:right w:val="none" w:sz="0" w:space="0" w:color="auto"/>
      </w:divBdr>
    </w:div>
    <w:div w:id="1964850005">
      <w:bodyDiv w:val="1"/>
      <w:marLeft w:val="0"/>
      <w:marRight w:val="0"/>
      <w:marTop w:val="0"/>
      <w:marBottom w:val="0"/>
      <w:divBdr>
        <w:top w:val="none" w:sz="0" w:space="0" w:color="auto"/>
        <w:left w:val="none" w:sz="0" w:space="0" w:color="auto"/>
        <w:bottom w:val="none" w:sz="0" w:space="0" w:color="auto"/>
        <w:right w:val="none" w:sz="0" w:space="0" w:color="auto"/>
      </w:divBdr>
    </w:div>
    <w:div w:id="1968074952">
      <w:bodyDiv w:val="1"/>
      <w:marLeft w:val="0"/>
      <w:marRight w:val="0"/>
      <w:marTop w:val="0"/>
      <w:marBottom w:val="0"/>
      <w:divBdr>
        <w:top w:val="none" w:sz="0" w:space="0" w:color="auto"/>
        <w:left w:val="none" w:sz="0" w:space="0" w:color="auto"/>
        <w:bottom w:val="none" w:sz="0" w:space="0" w:color="auto"/>
        <w:right w:val="none" w:sz="0" w:space="0" w:color="auto"/>
      </w:divBdr>
    </w:div>
    <w:div w:id="1972443747">
      <w:bodyDiv w:val="1"/>
      <w:marLeft w:val="0"/>
      <w:marRight w:val="0"/>
      <w:marTop w:val="0"/>
      <w:marBottom w:val="0"/>
      <w:divBdr>
        <w:top w:val="none" w:sz="0" w:space="0" w:color="auto"/>
        <w:left w:val="none" w:sz="0" w:space="0" w:color="auto"/>
        <w:bottom w:val="none" w:sz="0" w:space="0" w:color="auto"/>
        <w:right w:val="none" w:sz="0" w:space="0" w:color="auto"/>
      </w:divBdr>
    </w:div>
    <w:div w:id="1978758354">
      <w:bodyDiv w:val="1"/>
      <w:marLeft w:val="0"/>
      <w:marRight w:val="0"/>
      <w:marTop w:val="0"/>
      <w:marBottom w:val="0"/>
      <w:divBdr>
        <w:top w:val="none" w:sz="0" w:space="0" w:color="auto"/>
        <w:left w:val="none" w:sz="0" w:space="0" w:color="auto"/>
        <w:bottom w:val="none" w:sz="0" w:space="0" w:color="auto"/>
        <w:right w:val="none" w:sz="0" w:space="0" w:color="auto"/>
      </w:divBdr>
    </w:div>
    <w:div w:id="1996255471">
      <w:bodyDiv w:val="1"/>
      <w:marLeft w:val="0"/>
      <w:marRight w:val="0"/>
      <w:marTop w:val="0"/>
      <w:marBottom w:val="0"/>
      <w:divBdr>
        <w:top w:val="none" w:sz="0" w:space="0" w:color="auto"/>
        <w:left w:val="none" w:sz="0" w:space="0" w:color="auto"/>
        <w:bottom w:val="none" w:sz="0" w:space="0" w:color="auto"/>
        <w:right w:val="none" w:sz="0" w:space="0" w:color="auto"/>
      </w:divBdr>
      <w:divsChild>
        <w:div w:id="2025477239">
          <w:marLeft w:val="1166"/>
          <w:marRight w:val="0"/>
          <w:marTop w:val="0"/>
          <w:marBottom w:val="0"/>
          <w:divBdr>
            <w:top w:val="none" w:sz="0" w:space="0" w:color="auto"/>
            <w:left w:val="none" w:sz="0" w:space="0" w:color="auto"/>
            <w:bottom w:val="none" w:sz="0" w:space="0" w:color="auto"/>
            <w:right w:val="none" w:sz="0" w:space="0" w:color="auto"/>
          </w:divBdr>
        </w:div>
      </w:divsChild>
    </w:div>
    <w:div w:id="2032141012">
      <w:bodyDiv w:val="1"/>
      <w:marLeft w:val="0"/>
      <w:marRight w:val="0"/>
      <w:marTop w:val="0"/>
      <w:marBottom w:val="0"/>
      <w:divBdr>
        <w:top w:val="none" w:sz="0" w:space="0" w:color="auto"/>
        <w:left w:val="none" w:sz="0" w:space="0" w:color="auto"/>
        <w:bottom w:val="none" w:sz="0" w:space="0" w:color="auto"/>
        <w:right w:val="none" w:sz="0" w:space="0" w:color="auto"/>
      </w:divBdr>
    </w:div>
    <w:div w:id="2050107841">
      <w:bodyDiv w:val="1"/>
      <w:marLeft w:val="0"/>
      <w:marRight w:val="0"/>
      <w:marTop w:val="0"/>
      <w:marBottom w:val="0"/>
      <w:divBdr>
        <w:top w:val="none" w:sz="0" w:space="0" w:color="auto"/>
        <w:left w:val="none" w:sz="0" w:space="0" w:color="auto"/>
        <w:bottom w:val="none" w:sz="0" w:space="0" w:color="auto"/>
        <w:right w:val="none" w:sz="0" w:space="0" w:color="auto"/>
      </w:divBdr>
    </w:div>
    <w:div w:id="2073504068">
      <w:bodyDiv w:val="1"/>
      <w:marLeft w:val="0"/>
      <w:marRight w:val="0"/>
      <w:marTop w:val="0"/>
      <w:marBottom w:val="0"/>
      <w:divBdr>
        <w:top w:val="none" w:sz="0" w:space="0" w:color="auto"/>
        <w:left w:val="none" w:sz="0" w:space="0" w:color="auto"/>
        <w:bottom w:val="none" w:sz="0" w:space="0" w:color="auto"/>
        <w:right w:val="none" w:sz="0" w:space="0" w:color="auto"/>
      </w:divBdr>
    </w:div>
    <w:div w:id="2074235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aura.crovetto@it.ey.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l.galdabini@confimprese.it"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yperlink" Target="mailto:Grazia.nappi@it.e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64C84AAAD9E7478741B5F3A6FD5EE3" ma:contentTypeVersion="14" ma:contentTypeDescription="Create a new document." ma:contentTypeScope="" ma:versionID="829115fb33990b4070c00e8c046ed84f">
  <xsd:schema xmlns:xsd="http://www.w3.org/2001/XMLSchema" xmlns:xs="http://www.w3.org/2001/XMLSchema" xmlns:p="http://schemas.microsoft.com/office/2006/metadata/properties" xmlns:ns3="e42960f1-6e65-4322-8037-f5efade87e8d" xmlns:ns4="21479969-c426-46e1-86bd-4c2b49ddec62" targetNamespace="http://schemas.microsoft.com/office/2006/metadata/properties" ma:root="true" ma:fieldsID="a11d92593690fed806c4a6ed91f724f8" ns3:_="" ns4:_="">
    <xsd:import namespace="e42960f1-6e65-4322-8037-f5efade87e8d"/>
    <xsd:import namespace="21479969-c426-46e1-86bd-4c2b49ddec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960f1-6e65-4322-8037-f5efade87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479969-c426-46e1-86bd-4c2b49dde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D94E8F-7BFC-4185-B290-26D094FF79EE}">
  <ds:schemaRefs>
    <ds:schemaRef ds:uri="http://schemas.microsoft.com/sharepoint/v3/contenttype/forms"/>
  </ds:schemaRefs>
</ds:datastoreItem>
</file>

<file path=customXml/itemProps2.xml><?xml version="1.0" encoding="utf-8"?>
<ds:datastoreItem xmlns:ds="http://schemas.openxmlformats.org/officeDocument/2006/customXml" ds:itemID="{8F11A04B-8422-48E0-931C-B173692C484C}">
  <ds:schemaRefs>
    <ds:schemaRef ds:uri="http://schemas.openxmlformats.org/officeDocument/2006/bibliography"/>
  </ds:schemaRefs>
</ds:datastoreItem>
</file>

<file path=customXml/itemProps3.xml><?xml version="1.0" encoding="utf-8"?>
<ds:datastoreItem xmlns:ds="http://schemas.openxmlformats.org/officeDocument/2006/customXml" ds:itemID="{DB7E89EB-648C-497A-BDCD-BCDBB7993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2960f1-6e65-4322-8037-f5efade87e8d"/>
    <ds:schemaRef ds:uri="21479969-c426-46e1-86bd-4c2b49dde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0B84B1-B394-45F8-A861-D70A0EE833CA}">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275080</vt:lpwstr>
  </property>
  <property fmtid="{D5CDD505-2E9C-101B-9397-08002B2CF9AE}" pid="4" name="OptimizationTime">
    <vt:lpwstr>20220516_1026</vt:lpwstr>
  </property>
</Properties>
</file>

<file path=docProps/app.xml><?xml version="1.0" encoding="utf-8"?>
<Properties xmlns="http://schemas.openxmlformats.org/officeDocument/2006/extended-properties" xmlns:vt="http://schemas.openxmlformats.org/officeDocument/2006/docPropsVTypes">
  <Template>Normal</Template>
  <TotalTime>41</TotalTime>
  <Pages>6</Pages>
  <Words>1203</Words>
  <Characters>6858</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bassetti</dc:creator>
  <cp:keywords/>
  <dc:description/>
  <cp:lastModifiedBy>Laura Galdabini</cp:lastModifiedBy>
  <cp:revision>10</cp:revision>
  <dcterms:created xsi:type="dcterms:W3CDTF">2022-05-15T21:40:00Z</dcterms:created>
  <dcterms:modified xsi:type="dcterms:W3CDTF">2022-05-16T08:16:00Z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0x0101005664C84AAAD9E7478741B5F3A6FD5EE3</vt:lpwstr>
  </property>
</Properties>
</file>